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5.4. Внешний и поселковый транспорт.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bookmarkStart w:id="0" w:name="_Toc183075420"/>
      <w:r w:rsidRPr="006C3EED">
        <w:rPr>
          <w:rFonts w:ascii="Times New Roman" w:hAnsi="Times New Roman" w:cs="Times New Roman"/>
          <w:sz w:val="20"/>
          <w:szCs w:val="20"/>
        </w:rPr>
        <w:t>Улично-дорожная сеть.</w:t>
      </w:r>
      <w:bookmarkEnd w:id="0"/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6C3EED">
        <w:rPr>
          <w:rFonts w:ascii="Times New Roman" w:hAnsi="Times New Roman" w:cs="Times New Roman"/>
          <w:bCs/>
          <w:i/>
          <w:sz w:val="20"/>
          <w:szCs w:val="20"/>
        </w:rPr>
        <w:t>5.4.1. Внешний тран</w:t>
      </w:r>
      <w:r w:rsidRPr="006C3EED">
        <w:rPr>
          <w:rFonts w:ascii="Times New Roman" w:hAnsi="Times New Roman" w:cs="Times New Roman"/>
          <w:bCs/>
          <w:i/>
          <w:sz w:val="20"/>
          <w:szCs w:val="20"/>
        </w:rPr>
        <w:t>с</w:t>
      </w:r>
      <w:r w:rsidRPr="006C3EED">
        <w:rPr>
          <w:rFonts w:ascii="Times New Roman" w:hAnsi="Times New Roman" w:cs="Times New Roman"/>
          <w:bCs/>
          <w:i/>
          <w:sz w:val="20"/>
          <w:szCs w:val="20"/>
        </w:rPr>
        <w:t>порт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Населенный пункт расположен на транзитной автостраде (Р-382) республиканского значения Новосибирск - Павлодар. Расстояние до трассы составляет один км.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Поселок Пролетарский находится вблизи автомагистрали республиканского знач</w:t>
      </w:r>
      <w:r w:rsidRPr="006C3EED">
        <w:rPr>
          <w:rFonts w:ascii="Times New Roman" w:hAnsi="Times New Roman" w:cs="Times New Roman"/>
          <w:sz w:val="20"/>
          <w:szCs w:val="20"/>
        </w:rPr>
        <w:t>е</w:t>
      </w:r>
      <w:r w:rsidRPr="006C3EED">
        <w:rPr>
          <w:rFonts w:ascii="Times New Roman" w:hAnsi="Times New Roman" w:cs="Times New Roman"/>
          <w:sz w:val="20"/>
          <w:szCs w:val="20"/>
        </w:rPr>
        <w:t xml:space="preserve">ния (автострада Р-382) Новосибирск - Павлодар, по которой осуществляется автобусное сообщение. От поселка Пролетарского до районного центра Ордынское – </w:t>
      </w:r>
      <w:smartTag w:uri="urn:schemas-microsoft-com:office:smarttags" w:element="metricconverter">
        <w:smartTagPr>
          <w:attr w:name="ProductID" w:val="55 км"/>
        </w:smartTagPr>
        <w:r w:rsidRPr="006C3EED">
          <w:rPr>
            <w:rFonts w:ascii="Times New Roman" w:hAnsi="Times New Roman" w:cs="Times New Roman"/>
            <w:sz w:val="20"/>
            <w:szCs w:val="20"/>
          </w:rPr>
          <w:t>55 км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., до ближайшей и ж/д станции Каргат (по автостраде Р-383 и Р-382) - </w:t>
      </w:r>
      <w:smartTag w:uri="urn:schemas-microsoft-com:office:smarttags" w:element="metricconverter">
        <w:smartTagPr>
          <w:attr w:name="ProductID" w:val="120 км"/>
        </w:smartTagPr>
        <w:r w:rsidRPr="006C3EED">
          <w:rPr>
            <w:rFonts w:ascii="Times New Roman" w:hAnsi="Times New Roman" w:cs="Times New Roman"/>
            <w:sz w:val="20"/>
            <w:szCs w:val="20"/>
          </w:rPr>
          <w:t>120 км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., до областного центра города Новосибирска – </w:t>
      </w:r>
      <w:smartTag w:uri="urn:schemas-microsoft-com:office:smarttags" w:element="metricconverter">
        <w:smartTagPr>
          <w:attr w:name="ProductID" w:val="180 км"/>
        </w:smartTagPr>
        <w:r w:rsidRPr="006C3EED">
          <w:rPr>
            <w:rFonts w:ascii="Times New Roman" w:hAnsi="Times New Roman" w:cs="Times New Roman"/>
            <w:sz w:val="20"/>
            <w:szCs w:val="20"/>
          </w:rPr>
          <w:t>180 км</w:t>
        </w:r>
      </w:smartTag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6C3EED">
        <w:rPr>
          <w:rFonts w:ascii="Times New Roman" w:hAnsi="Times New Roman" w:cs="Times New Roman"/>
          <w:bCs/>
          <w:i/>
          <w:sz w:val="20"/>
          <w:szCs w:val="20"/>
        </w:rPr>
        <w:t>5.4.2. Ули</w:t>
      </w:r>
      <w:r w:rsidRPr="006C3EED">
        <w:rPr>
          <w:rFonts w:ascii="Times New Roman" w:hAnsi="Times New Roman" w:cs="Times New Roman"/>
          <w:bCs/>
          <w:i/>
          <w:sz w:val="20"/>
          <w:szCs w:val="20"/>
        </w:rPr>
        <w:t>ч</w:t>
      </w:r>
      <w:r w:rsidRPr="006C3EED">
        <w:rPr>
          <w:rFonts w:ascii="Times New Roman" w:hAnsi="Times New Roman" w:cs="Times New Roman"/>
          <w:bCs/>
          <w:i/>
          <w:sz w:val="20"/>
          <w:szCs w:val="20"/>
        </w:rPr>
        <w:t>но-дорожная сеть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Улично-дорожная сеть поселка формируется как целостная система, взаимосв</w:t>
      </w:r>
      <w:r w:rsidRPr="006C3EED">
        <w:rPr>
          <w:rFonts w:ascii="Times New Roman" w:hAnsi="Times New Roman" w:cs="Times New Roman"/>
          <w:sz w:val="20"/>
          <w:szCs w:val="20"/>
        </w:rPr>
        <w:t>я</w:t>
      </w:r>
      <w:r w:rsidRPr="006C3EED">
        <w:rPr>
          <w:rFonts w:ascii="Times New Roman" w:hAnsi="Times New Roman" w:cs="Times New Roman"/>
          <w:sz w:val="20"/>
          <w:szCs w:val="20"/>
        </w:rPr>
        <w:t>занная с сетью транспортных магистралей района расселения.  Планировочная структ</w:t>
      </w:r>
      <w:r w:rsidRPr="006C3EED">
        <w:rPr>
          <w:rFonts w:ascii="Times New Roman" w:hAnsi="Times New Roman" w:cs="Times New Roman"/>
          <w:sz w:val="20"/>
          <w:szCs w:val="20"/>
        </w:rPr>
        <w:t>у</w:t>
      </w:r>
      <w:r w:rsidRPr="006C3EED">
        <w:rPr>
          <w:rFonts w:ascii="Times New Roman" w:hAnsi="Times New Roman" w:cs="Times New Roman"/>
          <w:sz w:val="20"/>
          <w:szCs w:val="20"/>
        </w:rPr>
        <w:t>ра улично-дорожной сети является основой планировочного построения генерал</w:t>
      </w:r>
      <w:r w:rsidRPr="006C3EED">
        <w:rPr>
          <w:rFonts w:ascii="Times New Roman" w:hAnsi="Times New Roman" w:cs="Times New Roman"/>
          <w:sz w:val="20"/>
          <w:szCs w:val="20"/>
        </w:rPr>
        <w:t>ь</w:t>
      </w:r>
      <w:r w:rsidRPr="006C3EED">
        <w:rPr>
          <w:rFonts w:ascii="Times New Roman" w:hAnsi="Times New Roman" w:cs="Times New Roman"/>
          <w:sz w:val="20"/>
          <w:szCs w:val="20"/>
        </w:rPr>
        <w:t xml:space="preserve">ного плана.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Принципом ее организации является достижение компактности, экономии затрат на пер</w:t>
      </w:r>
      <w:r w:rsidRPr="006C3EED">
        <w:rPr>
          <w:rFonts w:ascii="Times New Roman" w:hAnsi="Times New Roman" w:cs="Times New Roman"/>
          <w:sz w:val="20"/>
          <w:szCs w:val="20"/>
        </w:rPr>
        <w:t>е</w:t>
      </w:r>
      <w:r w:rsidRPr="006C3EED">
        <w:rPr>
          <w:rFonts w:ascii="Times New Roman" w:hAnsi="Times New Roman" w:cs="Times New Roman"/>
          <w:sz w:val="20"/>
          <w:szCs w:val="20"/>
        </w:rPr>
        <w:t>движения.  Улично-дорожная сеть и транспорт обеспечивают движение населения и грузов.  В совокупности они формируют транспортную инфраструктуру посе</w:t>
      </w:r>
      <w:r w:rsidRPr="006C3EED">
        <w:rPr>
          <w:rFonts w:ascii="Times New Roman" w:hAnsi="Times New Roman" w:cs="Times New Roman"/>
          <w:sz w:val="20"/>
          <w:szCs w:val="20"/>
        </w:rPr>
        <w:t>л</w:t>
      </w:r>
      <w:r w:rsidRPr="006C3EED">
        <w:rPr>
          <w:rFonts w:ascii="Times New Roman" w:hAnsi="Times New Roman" w:cs="Times New Roman"/>
          <w:sz w:val="20"/>
          <w:szCs w:val="20"/>
        </w:rPr>
        <w:t>ка.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 проекте сохранена существующая транспортная сеть поселка. Новые улицы прокладываются по существующим направлениям движения во взаимодействии со сл</w:t>
      </w:r>
      <w:r w:rsidRPr="006C3EED">
        <w:rPr>
          <w:rFonts w:ascii="Times New Roman" w:hAnsi="Times New Roman" w:cs="Times New Roman"/>
          <w:sz w:val="20"/>
          <w:szCs w:val="20"/>
        </w:rPr>
        <w:t>о</w:t>
      </w:r>
      <w:r w:rsidRPr="006C3EED">
        <w:rPr>
          <w:rFonts w:ascii="Times New Roman" w:hAnsi="Times New Roman" w:cs="Times New Roman"/>
          <w:sz w:val="20"/>
          <w:szCs w:val="20"/>
        </w:rPr>
        <w:t>жившейся транспортной сетью. Некоторые существующие улицы предполагают возможное выпрямление, расширение и благоус</w:t>
      </w:r>
      <w:r w:rsidRPr="006C3EED">
        <w:rPr>
          <w:rFonts w:ascii="Times New Roman" w:hAnsi="Times New Roman" w:cs="Times New Roman"/>
          <w:sz w:val="20"/>
          <w:szCs w:val="20"/>
        </w:rPr>
        <w:t>т</w:t>
      </w:r>
      <w:r w:rsidRPr="006C3EED">
        <w:rPr>
          <w:rFonts w:ascii="Times New Roman" w:hAnsi="Times New Roman" w:cs="Times New Roman"/>
          <w:sz w:val="20"/>
          <w:szCs w:val="20"/>
        </w:rPr>
        <w:t>ройство.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Главные магистральные улицы имеют профиль  20-</w:t>
      </w:r>
      <w:smartTag w:uri="urn:schemas-microsoft-com:office:smarttags" w:element="metricconverter">
        <w:smartTagPr>
          <w:attr w:name="ProductID" w:val="25 м"/>
        </w:smartTagPr>
        <w:r w:rsidRPr="006C3EED">
          <w:rPr>
            <w:rFonts w:ascii="Times New Roman" w:hAnsi="Times New Roman" w:cs="Times New Roman"/>
            <w:sz w:val="20"/>
            <w:szCs w:val="20"/>
          </w:rPr>
          <w:t>25 м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., ширина проезжей части от 6 до </w:t>
      </w:r>
      <w:smartTag w:uri="urn:schemas-microsoft-com:office:smarttags" w:element="metricconverter">
        <w:smartTagPr>
          <w:attr w:name="ProductID" w:val="9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9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, что, в соответствии с нормативами, обеспечит двухстороннее автобусное движение. Ширина жилых улиц в красных линиях  принята 20 - </w:t>
      </w:r>
      <w:smartTag w:uri="urn:schemas-microsoft-com:office:smarttags" w:element="metricconverter">
        <w:smartTagPr>
          <w:attr w:name="ProductID" w:val="25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25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. Главная улица, ул. Ленина, - </w:t>
      </w:r>
      <w:smartTag w:uri="urn:schemas-microsoft-com:office:smarttags" w:element="metricconverter">
        <w:smartTagPr>
          <w:attr w:name="ProductID" w:val="30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30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Ширина проезжей ча</w:t>
      </w:r>
      <w:r w:rsidRPr="006C3EED">
        <w:rPr>
          <w:rFonts w:ascii="Times New Roman" w:hAnsi="Times New Roman" w:cs="Times New Roman"/>
          <w:sz w:val="20"/>
          <w:szCs w:val="20"/>
        </w:rPr>
        <w:t>с</w:t>
      </w:r>
      <w:r w:rsidRPr="006C3EED">
        <w:rPr>
          <w:rFonts w:ascii="Times New Roman" w:hAnsi="Times New Roman" w:cs="Times New Roman"/>
          <w:sz w:val="20"/>
          <w:szCs w:val="20"/>
        </w:rPr>
        <w:t xml:space="preserve">ти – </w:t>
      </w:r>
      <w:smartTag w:uri="urn:schemas-microsoft-com:office:smarttags" w:element="metricconverter">
        <w:smartTagPr>
          <w:attr w:name="ProductID" w:val="6 м"/>
        </w:smartTagPr>
        <w:r w:rsidRPr="006C3EED">
          <w:rPr>
            <w:rFonts w:ascii="Times New Roman" w:hAnsi="Times New Roman" w:cs="Times New Roman"/>
            <w:sz w:val="20"/>
            <w:szCs w:val="20"/>
          </w:rPr>
          <w:t>6 м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Вода отводится по придорожным кюветам и канавам в пониженные места рел</w:t>
      </w:r>
      <w:r w:rsidRPr="006C3EED">
        <w:rPr>
          <w:rFonts w:ascii="Times New Roman" w:hAnsi="Times New Roman" w:cs="Times New Roman"/>
          <w:sz w:val="20"/>
          <w:szCs w:val="20"/>
        </w:rPr>
        <w:t>ь</w:t>
      </w:r>
      <w:r w:rsidRPr="006C3EED">
        <w:rPr>
          <w:rFonts w:ascii="Times New Roman" w:hAnsi="Times New Roman" w:cs="Times New Roman"/>
          <w:sz w:val="20"/>
          <w:szCs w:val="20"/>
        </w:rPr>
        <w:t>ефа.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пешеходного движения предусмотрено строительство тротуаров вдоль проезжей ча</w:t>
      </w:r>
      <w:r w:rsidRPr="006C3EED">
        <w:rPr>
          <w:rFonts w:ascii="Times New Roman" w:hAnsi="Times New Roman" w:cs="Times New Roman"/>
          <w:sz w:val="20"/>
          <w:szCs w:val="20"/>
        </w:rPr>
        <w:t>с</w:t>
      </w:r>
      <w:r w:rsidRPr="006C3EED">
        <w:rPr>
          <w:rFonts w:ascii="Times New Roman" w:hAnsi="Times New Roman" w:cs="Times New Roman"/>
          <w:sz w:val="20"/>
          <w:szCs w:val="20"/>
        </w:rPr>
        <w:t xml:space="preserve">ти улиц, шириной  1,5 – </w:t>
      </w:r>
      <w:smartTag w:uri="urn:schemas-microsoft-com:office:smarttags" w:element="metricconverter">
        <w:smartTagPr>
          <w:attr w:name="ProductID" w:val="2,0 м"/>
        </w:smartTagPr>
        <w:r w:rsidRPr="006C3EED">
          <w:rPr>
            <w:rFonts w:ascii="Times New Roman" w:hAnsi="Times New Roman" w:cs="Times New Roman"/>
            <w:sz w:val="20"/>
            <w:szCs w:val="20"/>
          </w:rPr>
          <w:t>2,0 м</w:t>
        </w:r>
      </w:smartTag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bookmarkStart w:id="1" w:name="_Toc183075421"/>
      <w:r w:rsidRPr="006C3EED">
        <w:rPr>
          <w:rFonts w:ascii="Times New Roman" w:hAnsi="Times New Roman" w:cs="Times New Roman"/>
          <w:sz w:val="20"/>
          <w:szCs w:val="20"/>
        </w:rPr>
        <w:t>5.5. Озеленение</w:t>
      </w:r>
      <w:bookmarkEnd w:id="1"/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Проектом предусматриваются следу</w:t>
      </w:r>
      <w:r w:rsidRPr="006C3EED">
        <w:rPr>
          <w:rFonts w:ascii="Times New Roman" w:hAnsi="Times New Roman" w:cs="Times New Roman"/>
          <w:sz w:val="20"/>
          <w:szCs w:val="20"/>
        </w:rPr>
        <w:t>ю</w:t>
      </w:r>
      <w:r w:rsidRPr="006C3EED">
        <w:rPr>
          <w:rFonts w:ascii="Times New Roman" w:hAnsi="Times New Roman" w:cs="Times New Roman"/>
          <w:sz w:val="20"/>
          <w:szCs w:val="20"/>
        </w:rPr>
        <w:t>щие виды озеленения: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а) насаждения общего пользования (парки, скверы, однорядная посадка деревьев и ку</w:t>
      </w:r>
      <w:r w:rsidRPr="006C3EED">
        <w:rPr>
          <w:rFonts w:ascii="Times New Roman" w:hAnsi="Times New Roman" w:cs="Times New Roman"/>
          <w:sz w:val="20"/>
          <w:szCs w:val="20"/>
        </w:rPr>
        <w:t>с</w:t>
      </w:r>
      <w:r w:rsidRPr="006C3EED">
        <w:rPr>
          <w:rFonts w:ascii="Times New Roman" w:hAnsi="Times New Roman" w:cs="Times New Roman"/>
          <w:sz w:val="20"/>
          <w:szCs w:val="20"/>
        </w:rPr>
        <w:t>тарников вдоль улиц);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б) насаждения ограниченного пользования  на участках зданий общественного назнач</w:t>
      </w:r>
      <w:r w:rsidRPr="006C3EED">
        <w:rPr>
          <w:rFonts w:ascii="Times New Roman" w:hAnsi="Times New Roman" w:cs="Times New Roman"/>
          <w:sz w:val="20"/>
          <w:szCs w:val="20"/>
        </w:rPr>
        <w:t>е</w:t>
      </w:r>
      <w:r w:rsidRPr="006C3EED">
        <w:rPr>
          <w:rFonts w:ascii="Times New Roman" w:hAnsi="Times New Roman" w:cs="Times New Roman"/>
          <w:sz w:val="20"/>
          <w:szCs w:val="20"/>
        </w:rPr>
        <w:t>ния;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в) насаждения специального назначения (санитарно-защитные между жилой застройкой и прои</w:t>
      </w:r>
      <w:r w:rsidRPr="006C3EED">
        <w:rPr>
          <w:rFonts w:ascii="Times New Roman" w:hAnsi="Times New Roman" w:cs="Times New Roman"/>
          <w:sz w:val="20"/>
          <w:szCs w:val="20"/>
        </w:rPr>
        <w:t>з</w:t>
      </w:r>
      <w:r w:rsidRPr="006C3EED">
        <w:rPr>
          <w:rFonts w:ascii="Times New Roman" w:hAnsi="Times New Roman" w:cs="Times New Roman"/>
          <w:sz w:val="20"/>
          <w:szCs w:val="20"/>
        </w:rPr>
        <w:t xml:space="preserve">водственными предприятиями, вдоль автодороги).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Дендрологическое оформление парков и скверов, площадок учреждений общественного назначения рекомендуется в виде свободного размещения групп кустарников и высок</w:t>
      </w:r>
      <w:r w:rsidRPr="006C3EED">
        <w:rPr>
          <w:rFonts w:ascii="Times New Roman" w:hAnsi="Times New Roman" w:cs="Times New Roman"/>
          <w:sz w:val="20"/>
          <w:szCs w:val="20"/>
        </w:rPr>
        <w:t>о</w:t>
      </w:r>
      <w:r w:rsidRPr="006C3EED">
        <w:rPr>
          <w:rFonts w:ascii="Times New Roman" w:hAnsi="Times New Roman" w:cs="Times New Roman"/>
          <w:sz w:val="20"/>
          <w:szCs w:val="20"/>
        </w:rPr>
        <w:t>растущих деревьев. Для рядовой посадки в санитарно-защитных зонах и по улицам рекомендуется применять высокорастущие д</w:t>
      </w:r>
      <w:r w:rsidRPr="006C3EED">
        <w:rPr>
          <w:rFonts w:ascii="Times New Roman" w:hAnsi="Times New Roman" w:cs="Times New Roman"/>
          <w:sz w:val="20"/>
          <w:szCs w:val="20"/>
        </w:rPr>
        <w:t>е</w:t>
      </w:r>
      <w:r w:rsidRPr="006C3EED">
        <w:rPr>
          <w:rFonts w:ascii="Times New Roman" w:hAnsi="Times New Roman" w:cs="Times New Roman"/>
          <w:sz w:val="20"/>
          <w:szCs w:val="20"/>
        </w:rPr>
        <w:t>ревья с широкой густой кроной и кустарники.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6. Инженерная подготовка территории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Ввиду того, что проект корректировки генерального плана поселка Пролетарский выполнен на аэрофотосъемке (ортофотоплане), раздел «Инженерная подготовка» необходимо выполнить после изготовления топографической съемки.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86400" cy="7772400"/>
            <wp:effectExtent l="19050" t="0" r="0" b="0"/>
            <wp:docPr id="1" name="Рисунок 1" descr="План красных л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красных лини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План красных линий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191250" cy="8753475"/>
            <wp:effectExtent l="19050" t="0" r="0" b="0"/>
            <wp:docPr id="2" name="Рисунок 2" descr="Схема инженерных с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инженерных сет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Схема инженерных сетей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7. Инженерное обеспечение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7.1. Водопотребление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а). Существующее положение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Источником водоснабжения служат подземные воды. В селе действуют три скважины муниципального предприятия «Пролетарское ЖКХ», две по ул. Комсомольская, 10а, производительностью 12 и 6 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/час и одна по ул. Ширяева, 41а, производительностью 10 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 xml:space="preserve">/час. Глубина скважин </w:t>
      </w:r>
      <w:smartTag w:uri="urn:schemas-microsoft-com:office:smarttags" w:element="metricconverter">
        <w:smartTagPr>
          <w:attr w:name="ProductID" w:val="180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180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Построены две водонапорные башни высотой </w:t>
      </w:r>
      <w:smartTag w:uri="urn:schemas-microsoft-com:office:smarttags" w:element="metricconverter">
        <w:smartTagPr>
          <w:attr w:name="ProductID" w:val="24 метра"/>
        </w:smartTagPr>
        <w:r w:rsidRPr="006C3EED">
          <w:rPr>
            <w:rFonts w:ascii="Times New Roman" w:hAnsi="Times New Roman" w:cs="Times New Roman"/>
            <w:sz w:val="20"/>
            <w:szCs w:val="20"/>
          </w:rPr>
          <w:t>24 метра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 и емкостью баков по </w:t>
      </w:r>
      <w:smartTag w:uri="urn:schemas-microsoft-com:office:smarttags" w:element="metricconverter">
        <w:smartTagPr>
          <w:attr w:name="ProductID" w:val="25 м3"/>
        </w:smartTagPr>
        <w:r w:rsidRPr="006C3EED">
          <w:rPr>
            <w:rFonts w:ascii="Times New Roman" w:hAnsi="Times New Roman" w:cs="Times New Roman"/>
            <w:sz w:val="20"/>
            <w:szCs w:val="20"/>
          </w:rPr>
          <w:t>25 м</w:t>
        </w:r>
        <w:r w:rsidRPr="006C3EED">
          <w:rPr>
            <w:rFonts w:ascii="Times New Roman" w:hAnsi="Times New Roman" w:cs="Times New Roman"/>
            <w:sz w:val="20"/>
            <w:szCs w:val="20"/>
            <w:vertAlign w:val="superscript"/>
          </w:rPr>
          <w:t>3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, еще одна башня расположена на въезде в поселок. Высота сооружения – </w:t>
      </w:r>
      <w:smartTag w:uri="urn:schemas-microsoft-com:office:smarttags" w:element="metricconverter">
        <w:smartTagPr>
          <w:attr w:name="ProductID" w:val="25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25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, емкость – </w:t>
      </w:r>
      <w:smartTag w:uri="urn:schemas-microsoft-com:office:smarttags" w:element="metricconverter">
        <w:smartTagPr>
          <w:attr w:name="ProductID" w:val="25 м3"/>
        </w:smartTagPr>
        <w:r w:rsidRPr="006C3EED">
          <w:rPr>
            <w:rFonts w:ascii="Times New Roman" w:hAnsi="Times New Roman" w:cs="Times New Roman"/>
            <w:sz w:val="20"/>
            <w:szCs w:val="20"/>
          </w:rPr>
          <w:t>25 м</w:t>
        </w:r>
        <w:r w:rsidRPr="006C3EED">
          <w:rPr>
            <w:rFonts w:ascii="Times New Roman" w:hAnsi="Times New Roman" w:cs="Times New Roman"/>
            <w:sz w:val="20"/>
            <w:szCs w:val="20"/>
            <w:vertAlign w:val="superscript"/>
          </w:rPr>
          <w:t>3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. К башне проложен водовод диаметром </w:t>
      </w:r>
      <w:smartTag w:uri="urn:schemas-microsoft-com:office:smarttags" w:element="metricconverter">
        <w:smartTagPr>
          <w:attr w:name="ProductID" w:val="250 мм"/>
        </w:smartTagPr>
        <w:r w:rsidRPr="006C3EED">
          <w:rPr>
            <w:rFonts w:ascii="Times New Roman" w:hAnsi="Times New Roman" w:cs="Times New Roman"/>
            <w:sz w:val="20"/>
            <w:szCs w:val="20"/>
          </w:rPr>
          <w:t>250 мм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 от водозабора в с. Спирино. Подача воды в данное время не осуществляется. Водозабор не действует.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б). Проектное решение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Проектом предлагается создание централизованных систем для обеспечения всех потребителей водой питьевого качества и в полном объеме.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Общее водопотребление составит 880м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 xml:space="preserve">/сутки (табл. № 7.1), в том числе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- 755м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/сутки.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Расчеты выполнены по нормативу потребления воды на одного человека в л/сутки согласно СНиП и методических рекомендаций с учетом степени благоустройства жилого фонда. В норму входит полив придомовой территории.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Расходы воды по производственным площадкам и потребителям сельского хозяйства приняты ориентировочно по проектам-аналогам и технологическим нормам.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Система и схема водоснабжения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Система принята объединенная хозяйственно-питьевая, противопожарная низкого давления по СНиП 2.04.02-84*.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Схема подачи – централизованная, насосная.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Схема водоснабжения – вода от группового водозабора по сборным водоводам насосами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подъема подается на очистные сооружения при необходимости, откуда поступает в резервуары чистой воды. Из резервуаров чистой воды насосами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подъема по водоводам вода подается в поселковую сеть и к остальным потребителям.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Сборные водоводы и подающие водоводы прокладываются в 2 нити. Поселковые сети кольцевые.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7.1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Водопотребление и водоотведение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9464" w:type="dxa"/>
        <w:tblInd w:w="0" w:type="dxa"/>
        <w:tblLayout w:type="fixed"/>
        <w:tblLook w:val="01E0"/>
      </w:tblPr>
      <w:tblGrid>
        <w:gridCol w:w="567"/>
        <w:gridCol w:w="4139"/>
        <w:gridCol w:w="1214"/>
        <w:gridCol w:w="1134"/>
        <w:gridCol w:w="1134"/>
        <w:gridCol w:w="1276"/>
      </w:tblGrid>
      <w:tr w:rsidR="006C3EED" w:rsidRPr="006C3EED" w:rsidTr="00873EF7">
        <w:tc>
          <w:tcPr>
            <w:tcW w:w="567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№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п/п</w:t>
            </w:r>
          </w:p>
        </w:tc>
        <w:tc>
          <w:tcPr>
            <w:tcW w:w="4139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Потребители</w:t>
            </w:r>
          </w:p>
        </w:tc>
        <w:tc>
          <w:tcPr>
            <w:tcW w:w="4758" w:type="dxa"/>
            <w:gridSpan w:val="4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Расход воды, м</w:t>
            </w:r>
            <w:r w:rsidRPr="006C3EED">
              <w:rPr>
                <w:vertAlign w:val="superscript"/>
              </w:rPr>
              <w:t>3</w:t>
            </w:r>
            <w:r w:rsidRPr="006C3EED">
              <w:t>/сутки</w:t>
            </w:r>
          </w:p>
        </w:tc>
      </w:tr>
      <w:tr w:rsidR="006C3EED" w:rsidRPr="006C3EED" w:rsidTr="00873EF7">
        <w:tc>
          <w:tcPr>
            <w:tcW w:w="567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139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2348" w:type="dxa"/>
            <w:gridSpan w:val="2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Водопотребление</w:t>
            </w:r>
          </w:p>
        </w:tc>
        <w:tc>
          <w:tcPr>
            <w:tcW w:w="2410" w:type="dxa"/>
            <w:gridSpan w:val="2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Водоотведение</w:t>
            </w:r>
          </w:p>
        </w:tc>
      </w:tr>
      <w:tr w:rsidR="006C3EED" w:rsidRPr="006C3EED" w:rsidTr="00873EF7">
        <w:tc>
          <w:tcPr>
            <w:tcW w:w="567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139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rPr>
                <w:lang w:val="en-US"/>
              </w:rPr>
              <w:t>I</w:t>
            </w:r>
            <w:r w:rsidRPr="006C3EED">
              <w:t xml:space="preserve"> 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очередь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Расчет. срок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rPr>
                <w:lang w:val="en-US"/>
              </w:rPr>
              <w:t>I</w:t>
            </w:r>
            <w:r w:rsidRPr="006C3EED">
              <w:t xml:space="preserve"> очередь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Расчет. срок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Коммунально-бытовые расходы, в том числе: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485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535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422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467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- население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411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442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364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400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- административно-бытовые здания и 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   сооружения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74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93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58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67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2.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Промышленность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101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128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71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86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3.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Сельское хозяйство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56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70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19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28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4.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Транспорт и связь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19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32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16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5.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Малое предпринимательство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24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26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11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19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6.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Обслуживающие отрасли и прочие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30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41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18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30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7.</w:t>
            </w: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Поение личного скота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40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48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-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-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Итого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755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880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548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646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13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в т.ч. коммунально-бытовые</w:t>
            </w:r>
          </w:p>
        </w:tc>
        <w:tc>
          <w:tcPr>
            <w:tcW w:w="121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485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535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422</w:t>
            </w:r>
          </w:p>
        </w:tc>
        <w:tc>
          <w:tcPr>
            <w:tcW w:w="127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467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Свободные напоры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Минимальный свободный напор в сети водопровода не менее </w:t>
      </w:r>
      <w:smartTag w:uri="urn:schemas-microsoft-com:office:smarttags" w:element="metricconverter">
        <w:smartTagPr>
          <w:attr w:name="ProductID" w:val="10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10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, на каждый следующий этаж прибавляется </w:t>
      </w:r>
      <w:smartTag w:uri="urn:schemas-microsoft-com:office:smarttags" w:element="metricconverter">
        <w:smartTagPr>
          <w:attr w:name="ProductID" w:val="4 метра"/>
        </w:smartTagPr>
        <w:r w:rsidRPr="006C3EED">
          <w:rPr>
            <w:rFonts w:ascii="Times New Roman" w:hAnsi="Times New Roman" w:cs="Times New Roman"/>
            <w:sz w:val="20"/>
            <w:szCs w:val="20"/>
          </w:rPr>
          <w:t>4 метра</w:t>
        </w:r>
      </w:smartTag>
      <w:r w:rsidRPr="006C3EED">
        <w:rPr>
          <w:rFonts w:ascii="Times New Roman" w:hAnsi="Times New Roman" w:cs="Times New Roman"/>
          <w:sz w:val="20"/>
          <w:szCs w:val="20"/>
        </w:rPr>
        <w:t>. При наличии пожарного депо необходимый напор создается передвижными пожарными насосами.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lastRenderedPageBreak/>
        <w:t xml:space="preserve">Пожаротушение предусматривается из гидрантов установленных на кольцевой сети водопровода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100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 друг от друга. Необходимый пожарный запас хранится в резервуарах чистой воды и в баках водонапорных башен.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Условия пожаротушения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7.2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0" w:type="dxa"/>
        <w:tblLook w:val="01E0"/>
      </w:tblPr>
      <w:tblGrid>
        <w:gridCol w:w="7088"/>
        <w:gridCol w:w="2381"/>
      </w:tblGrid>
      <w:tr w:rsidR="006C3EED" w:rsidRPr="006C3EED" w:rsidTr="00873EF7">
        <w:tc>
          <w:tcPr>
            <w:tcW w:w="708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Показатели</w:t>
            </w:r>
          </w:p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2381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</w:tr>
      <w:tr w:rsidR="006C3EED" w:rsidRPr="006C3EED" w:rsidTr="00873EF7">
        <w:tc>
          <w:tcPr>
            <w:tcW w:w="708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Продолжительность пожара</w:t>
            </w:r>
          </w:p>
        </w:tc>
        <w:tc>
          <w:tcPr>
            <w:tcW w:w="238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 часа</w:t>
            </w:r>
          </w:p>
        </w:tc>
      </w:tr>
      <w:tr w:rsidR="006C3EED" w:rsidRPr="006C3EED" w:rsidTr="00873EF7">
        <w:tc>
          <w:tcPr>
            <w:tcW w:w="708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Расчетное количество пожаров</w:t>
            </w:r>
          </w:p>
        </w:tc>
        <w:tc>
          <w:tcPr>
            <w:tcW w:w="238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один</w:t>
            </w:r>
          </w:p>
        </w:tc>
      </w:tr>
      <w:tr w:rsidR="006C3EED" w:rsidRPr="006C3EED" w:rsidTr="00873EF7">
        <w:tc>
          <w:tcPr>
            <w:tcW w:w="708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Расходы на пожаротушение (л/сек.)</w:t>
            </w:r>
          </w:p>
        </w:tc>
        <w:tc>
          <w:tcPr>
            <w:tcW w:w="238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20 </w:t>
            </w:r>
          </w:p>
        </w:tc>
      </w:tr>
      <w:tr w:rsidR="006C3EED" w:rsidRPr="006C3EED" w:rsidTr="00873EF7">
        <w:tc>
          <w:tcPr>
            <w:tcW w:w="708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в том числе на наружное (л/сек.)</w:t>
            </w:r>
          </w:p>
        </w:tc>
        <w:tc>
          <w:tcPr>
            <w:tcW w:w="238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15</w:t>
            </w:r>
          </w:p>
        </w:tc>
      </w:tr>
      <w:tr w:rsidR="006C3EED" w:rsidRPr="006C3EED" w:rsidTr="00873EF7">
        <w:tc>
          <w:tcPr>
            <w:tcW w:w="708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                      на внутреннее (л/сек.) (2 струи по 2.5л/сек.)</w:t>
            </w:r>
          </w:p>
        </w:tc>
        <w:tc>
          <w:tcPr>
            <w:tcW w:w="238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Расчетные расходы воды по поселкам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7.3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0" w:type="dxa"/>
        <w:tblLayout w:type="fixed"/>
        <w:tblLook w:val="01E0"/>
      </w:tblPr>
      <w:tblGrid>
        <w:gridCol w:w="5330"/>
        <w:gridCol w:w="2069"/>
        <w:gridCol w:w="2069"/>
      </w:tblGrid>
      <w:tr w:rsidR="006C3EED" w:rsidRPr="006C3EED" w:rsidTr="00873EF7">
        <w:tc>
          <w:tcPr>
            <w:tcW w:w="533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Показатели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Ед.изм.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Расход</w:t>
            </w:r>
          </w:p>
          <w:p w:rsidR="006C3EED" w:rsidRPr="006C3EED" w:rsidRDefault="006C3EED" w:rsidP="006C3EED">
            <w:pPr>
              <w:pStyle w:val="af7"/>
              <w:jc w:val="both"/>
            </w:pPr>
          </w:p>
        </w:tc>
      </w:tr>
      <w:tr w:rsidR="006C3EED" w:rsidRPr="006C3EED" w:rsidTr="00873EF7">
        <w:tc>
          <w:tcPr>
            <w:tcW w:w="533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Среднесуточный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</w:t>
            </w:r>
            <w:r w:rsidRPr="006C3EED">
              <w:rPr>
                <w:vertAlign w:val="superscript"/>
              </w:rPr>
              <w:t>3</w:t>
            </w:r>
            <w:r w:rsidRPr="006C3EED">
              <w:t>/сут.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880</w:t>
            </w:r>
          </w:p>
        </w:tc>
      </w:tr>
      <w:tr w:rsidR="006C3EED" w:rsidRPr="006C3EED" w:rsidTr="00873EF7">
        <w:tc>
          <w:tcPr>
            <w:tcW w:w="533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Максимально-суточный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</w:t>
            </w:r>
            <w:r w:rsidRPr="006C3EED">
              <w:rPr>
                <w:vertAlign w:val="superscript"/>
              </w:rPr>
              <w:t>3</w:t>
            </w:r>
            <w:r w:rsidRPr="006C3EED">
              <w:t>/сут.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1056</w:t>
            </w:r>
          </w:p>
        </w:tc>
      </w:tr>
      <w:tr w:rsidR="006C3EED" w:rsidRPr="006C3EED" w:rsidTr="00873EF7">
        <w:tc>
          <w:tcPr>
            <w:tcW w:w="533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Максимально-часовой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</w:t>
            </w:r>
            <w:r w:rsidRPr="006C3EED">
              <w:rPr>
                <w:vertAlign w:val="superscript"/>
              </w:rPr>
              <w:t>3</w:t>
            </w:r>
            <w:r w:rsidRPr="006C3EED">
              <w:t>/час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75.0</w:t>
            </w:r>
          </w:p>
        </w:tc>
      </w:tr>
      <w:tr w:rsidR="006C3EED" w:rsidRPr="006C3EED" w:rsidTr="00873EF7">
        <w:tc>
          <w:tcPr>
            <w:tcW w:w="533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Максимально-секундный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л/сек.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20.7</w:t>
            </w:r>
          </w:p>
        </w:tc>
      </w:tr>
      <w:tr w:rsidR="006C3EED" w:rsidRPr="006C3EED" w:rsidTr="00873EF7">
        <w:tc>
          <w:tcPr>
            <w:tcW w:w="533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Максимально-секундный с учетом 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пожарных расходов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л/сек.</w:t>
            </w:r>
          </w:p>
        </w:tc>
        <w:tc>
          <w:tcPr>
            <w:tcW w:w="2069" w:type="dxa"/>
          </w:tcPr>
          <w:p w:rsidR="006C3EED" w:rsidRPr="006C3EED" w:rsidRDefault="006C3EED" w:rsidP="006C3EED">
            <w:pPr>
              <w:pStyle w:val="af7"/>
              <w:jc w:val="both"/>
            </w:pP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40.7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Резервуары чистой воды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Необходимый неприкосновенный запас воды хранится в резервуарах чистой воды, емкость которых назначается из условий хранения запаса: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регулирующего (17-28% максимального суточного);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- 3-часового противопожарного запаса на наружное и внутреннее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пожаротушение;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- 3-часового неприкосновенного максимального расхода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179 + 162 + 54 + (75х3) = </w:t>
      </w:r>
      <w:smartTag w:uri="urn:schemas-microsoft-com:office:smarttags" w:element="metricconverter">
        <w:smartTagPr>
          <w:attr w:name="ProductID" w:val="621 м3"/>
        </w:smartTagPr>
        <w:r w:rsidRPr="006C3EED">
          <w:rPr>
            <w:rFonts w:ascii="Times New Roman" w:hAnsi="Times New Roman" w:cs="Times New Roman"/>
            <w:sz w:val="20"/>
            <w:szCs w:val="20"/>
          </w:rPr>
          <w:t>621 м</w:t>
        </w:r>
        <w:r w:rsidRPr="006C3EED">
          <w:rPr>
            <w:rFonts w:ascii="Times New Roman" w:hAnsi="Times New Roman" w:cs="Times New Roman"/>
            <w:sz w:val="20"/>
            <w:szCs w:val="20"/>
            <w:vertAlign w:val="superscript"/>
          </w:rPr>
          <w:t>3</w:t>
        </w:r>
      </w:smartTag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Принято: два резервуара емкостью по </w:t>
      </w:r>
      <w:smartTag w:uri="urn:schemas-microsoft-com:office:smarttags" w:element="metricconverter">
        <w:smartTagPr>
          <w:attr w:name="ProductID" w:val="350 м3"/>
        </w:smartTagPr>
        <w:r w:rsidRPr="006C3EED">
          <w:rPr>
            <w:rFonts w:ascii="Times New Roman" w:hAnsi="Times New Roman" w:cs="Times New Roman"/>
            <w:sz w:val="20"/>
            <w:szCs w:val="20"/>
          </w:rPr>
          <w:t>350 м</w:t>
        </w:r>
        <w:r w:rsidRPr="006C3EED">
          <w:rPr>
            <w:rFonts w:ascii="Times New Roman" w:hAnsi="Times New Roman" w:cs="Times New Roman"/>
            <w:sz w:val="20"/>
            <w:szCs w:val="20"/>
            <w:vertAlign w:val="superscript"/>
          </w:rPr>
          <w:t>3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 каждый.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Водонапорная башня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Емкость бака рассчитана на хранение запаса: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регулирующего (3-7% от максимального расхода);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- десятиминутного запаса на наружное и внутреннее пожаротушение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51+6+3=60м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Высота водонапорной башни, их количество и положение в системе водоснабжения уточняется гидравлическим расчетом сети в проекте водоснабжения. Принята башня емкостью бака 75м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Источник водоснабжения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Источником водоснабжения приняты подземные воды.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Обеспечение водой всех потребителей поселения предлагается от группового водозабора из 4 рабочих и 1 резервной скважины. Для организации водозабора необходима постановка поисково-разведочных работ на воду с разработкой рекомендаций по рациональным условиям эксплуатации.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По данным существующих эксплуатируемых скважин дебит изменяется от 1.0 до 7.3л/сек., при понижении от 4.0 до </w:t>
      </w:r>
      <w:smartTag w:uri="urn:schemas-microsoft-com:office:smarttags" w:element="metricconverter">
        <w:smartTagPr>
          <w:attr w:name="ProductID" w:val="21.0 метра"/>
        </w:smartTagPr>
        <w:r w:rsidRPr="006C3EED">
          <w:rPr>
            <w:rFonts w:ascii="Times New Roman" w:hAnsi="Times New Roman" w:cs="Times New Roman"/>
            <w:sz w:val="20"/>
            <w:szCs w:val="20"/>
          </w:rPr>
          <w:t>21.0 метра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. Мощность водоносного горизонта от 16 до </w:t>
      </w:r>
      <w:smartTag w:uri="urn:schemas-microsoft-com:office:smarttags" w:element="metricconverter">
        <w:smartTagPr>
          <w:attr w:name="ProductID" w:val="38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38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По основным показателям вода удовлетворяет требованиям СанПиН, кроме содержания железа. Водоподготовка производится на установке обезжелезивания.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При составлении проекта группового водозабора будут уточнены все показатели по скважинам (производительность, мощность водоносного горизонта и др.). Соответственно рассчитаны границы зон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,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6C3EED">
        <w:rPr>
          <w:rFonts w:ascii="Times New Roman" w:hAnsi="Times New Roman" w:cs="Times New Roman"/>
          <w:sz w:val="20"/>
          <w:szCs w:val="20"/>
        </w:rPr>
        <w:t xml:space="preserve">,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поясов, которые в проекте генплана даны приблизительно.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Ориентировочный расчет зон санитарной охраны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предварительного выбора местоположения водозабора приводим ориентировочный расчет зон санитарной охраны, требования к их организации и санитарные мероприятия на их территории.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Зоны санитарной охраны рассчитаны по формуле: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6C3EED">
        <w:rPr>
          <w:rFonts w:ascii="Times New Roman" w:hAnsi="Times New Roman" w:cs="Times New Roman"/>
          <w:sz w:val="20"/>
          <w:szCs w:val="20"/>
        </w:rPr>
        <w:t xml:space="preserve"> = </w:t>
      </w:r>
      <w:r w:rsidRPr="006C3EED">
        <w:rPr>
          <w:rFonts w:ascii="Times New Roman" w:hAnsi="Times New Roman" w:cs="Times New Roman"/>
          <w:sz w:val="20"/>
          <w:szCs w:val="20"/>
          <w:u w:val="single"/>
        </w:rPr>
        <w:sym w:font="Symbol" w:char="F0D6"/>
      </w:r>
      <w:r w:rsidRPr="006C3EED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6C3EED">
        <w:rPr>
          <w:rFonts w:ascii="Times New Roman" w:hAnsi="Times New Roman" w:cs="Times New Roman"/>
          <w:sz w:val="20"/>
          <w:szCs w:val="20"/>
          <w:u w:val="single"/>
          <w:lang w:val="en-US"/>
        </w:rPr>
        <w:t>Q</w:t>
      </w:r>
      <w:r w:rsidRPr="006C3EED">
        <w:rPr>
          <w:rFonts w:ascii="Times New Roman" w:hAnsi="Times New Roman" w:cs="Times New Roman"/>
          <w:sz w:val="20"/>
          <w:szCs w:val="20"/>
          <w:u w:val="single"/>
        </w:rPr>
        <w:t xml:space="preserve"> х Т</w:t>
      </w:r>
      <w:r w:rsidRPr="006C3EED">
        <w:rPr>
          <w:rFonts w:ascii="Times New Roman" w:hAnsi="Times New Roman" w:cs="Times New Roman"/>
          <w:sz w:val="20"/>
          <w:szCs w:val="20"/>
          <w:u w:val="single"/>
          <w:lang w:val="en-US"/>
        </w:rPr>
        <w:t>mx</w:t>
      </w:r>
      <w:r w:rsidRPr="006C3EED">
        <w:rPr>
          <w:rFonts w:ascii="Times New Roman" w:hAnsi="Times New Roman" w:cs="Times New Roman"/>
          <w:sz w:val="20"/>
          <w:szCs w:val="20"/>
        </w:rPr>
        <w:t xml:space="preserve">       где: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6C3EED">
        <w:rPr>
          <w:rFonts w:ascii="Times New Roman" w:hAnsi="Times New Roman" w:cs="Times New Roman"/>
          <w:sz w:val="20"/>
          <w:szCs w:val="20"/>
        </w:rPr>
        <w:t xml:space="preserve">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6C3EED">
        <w:rPr>
          <w:rFonts w:ascii="Times New Roman" w:hAnsi="Times New Roman" w:cs="Times New Roman"/>
          <w:sz w:val="20"/>
          <w:szCs w:val="20"/>
        </w:rPr>
        <w:t xml:space="preserve">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6C3EED">
        <w:rPr>
          <w:rFonts w:ascii="Times New Roman" w:hAnsi="Times New Roman" w:cs="Times New Roman"/>
          <w:sz w:val="20"/>
          <w:szCs w:val="20"/>
        </w:rPr>
        <w:t xml:space="preserve">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n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Q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производительность водозабора, 880м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/сутки;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6C3EED">
        <w:rPr>
          <w:rFonts w:ascii="Times New Roman" w:hAnsi="Times New Roman" w:cs="Times New Roman"/>
          <w:sz w:val="20"/>
          <w:szCs w:val="20"/>
          <w:vertAlign w:val="subscript"/>
        </w:rPr>
        <w:t>скв.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производительность скважины, 220м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/сутки;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мощность водоносного горизонта, 16-</w:t>
      </w:r>
      <w:smartTag w:uri="urn:schemas-microsoft-com:office:smarttags" w:element="metricconverter">
        <w:smartTagPr>
          <w:attr w:name="ProductID" w:val="30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30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>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n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0.2 – активная пористость пород;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200 суток, Тх – 25 лет (10000 суток);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время продвижения микробных загрязнений к водозабору;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Тх – время продвижения химических загрязнений к водозабору;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6C3EED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II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второй пояс от скважины </w:t>
      </w:r>
      <w:r w:rsidRPr="006C3EED">
        <w:rPr>
          <w:rFonts w:ascii="Times New Roman" w:hAnsi="Times New Roman" w:cs="Times New Roman"/>
          <w:sz w:val="20"/>
          <w:szCs w:val="20"/>
        </w:rPr>
        <w:sym w:font="Symbol" w:char="F0BB"/>
      </w:r>
      <w:r w:rsidRPr="006C3EED">
        <w:rPr>
          <w:rFonts w:ascii="Times New Roman" w:hAnsi="Times New Roman" w:cs="Times New Roman"/>
          <w:sz w:val="20"/>
          <w:szCs w:val="20"/>
        </w:rPr>
        <w:t>67 метров;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6C3EED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III</w:t>
      </w:r>
      <w:r w:rsidRPr="006C3EED">
        <w:rPr>
          <w:rFonts w:ascii="Times New Roman" w:hAnsi="Times New Roman" w:cs="Times New Roman"/>
          <w:sz w:val="20"/>
          <w:szCs w:val="20"/>
        </w:rPr>
        <w:t xml:space="preserve"> – третий пояс от центра водозабора </w:t>
      </w:r>
      <w:r w:rsidRPr="006C3EED">
        <w:rPr>
          <w:rFonts w:ascii="Times New Roman" w:hAnsi="Times New Roman" w:cs="Times New Roman"/>
          <w:sz w:val="20"/>
          <w:szCs w:val="20"/>
        </w:rPr>
        <w:sym w:font="Symbol" w:char="F0BB"/>
      </w:r>
      <w:r w:rsidRPr="006C3EED">
        <w:rPr>
          <w:rFonts w:ascii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870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870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предотвращения загрязнения подземных вод на участке водозабора, вокруг него создается зона санитарной охраны, состоящая из трех поясов, в которых осуществляются специальные мероприятия, исключающие возможность поступления загрязнений в водоносный горизонт.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В соответствии с требованиями СНиП зона строгого режима (первый пояс) радиусом </w:t>
      </w:r>
      <w:smartTag w:uri="urn:schemas-microsoft-com:office:smarttags" w:element="metricconverter">
        <w:smartTagPr>
          <w:attr w:name="ProductID" w:val="50 метров"/>
        </w:smartTagPr>
        <w:r w:rsidRPr="006C3EED">
          <w:rPr>
            <w:rFonts w:ascii="Times New Roman" w:hAnsi="Times New Roman" w:cs="Times New Roman"/>
            <w:sz w:val="20"/>
            <w:szCs w:val="20"/>
          </w:rPr>
          <w:t>50 метров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 вокруг каждой скважины.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Зоны ограничения (второй и третий пояс) представляют собой территории, для которых вводятся  определенные ограничения их использования: второй пояс предназначен для защиты подземных вод от микробного загрязнения, третий – от химического.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Санитарные мероприятия на территории зон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Территория первого пояса должна быть спланирована, огорожена и озеленена. Для площадок станций водоподготовки, насосных станций, резервуаров, как правило, глухое ограждение высотой 2.5м, допускается 2м – глухое, 0.5м – металлической сеткой.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территории первого пояса зоны должна предусматриваться сторожевая (тревожная) сигнализация.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На территории первого пояса зоны: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а) запрещается: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все виды строительства, за исключением реконструкции и расширения основных водопроводных сооружений;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размещение жилых и общественных зданий;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прокладка трубопроводов различного назначения, кроме обслуживающих сооружений;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б) здания канализуются;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в) обеспечивается отведение поверхностных вод.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 пределах второго и третьего поясов зон санитарной охраны предусматриваются общие для них ограничения: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Все виды бурения скважин и строительства проводятся с разрешения соответствующих органов санитарного, геологического и водного надзора.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Ликвидируются бездействующие скважины, дефектные скважины и выработки, вызывающие опасность загрязнения водоносного горизонта.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Запрещается размещение складов горюче-смазочных материалов, ядохимикатов, минеральных удобрений.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На территории второго пояса зоны санитарной охраны должны отсутствовать источники микробного загрязнения (животноводческие и птицеводческие предприятия), а также источники химического загрязнения.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Запрещается размещение объектов, обуславливающих опасность микробного загрязнения подземных вод (кладбищ, скотомогильников, силосных траншей и других сельскохозяйственных объектов), промышленная рубка леса, применение ядохимикатов и удобрений.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Должно быть проведено санитарное благоустройство населенных пунктов и других объектов.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7.2. Канализация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а). Существующее положение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lastRenderedPageBreak/>
        <w:t>Централизованной системы канализации в поселке нет. Стоки от зданий и жилых домов отводятся в выгреба. Вывоз стоков осуществляется транспортом МУП ЖКХ в места, согласованные санитарно-эпидемиологическим надзором.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б). Проектное предложение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Общий расход сточных вод составит 646м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/сутки (табл. № 7.1), в том числе коммунально-бытовые – 467м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/сутки. Стоки населения составляют 90% от водопотребления, от производственных площадок определены по аналогии действующих предприятий и объектов.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Проектом предлагается централизованная система канализации с подачей стоков на очистные сооружения и децентрализованная – для усадебной застройки.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 первую очередь канализуются здания школы, детского сада, административные и общественные здания, жилые дома центральной части поселка.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Очистка производится на сооружениях ЗАО «РОСВОДКОНСАЛТИНГ», «ЭКОЛАЙН» и КУ (компактные установки заводского изготовления). Выбор производится при проектировании системы канализации.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усадебной застройки рекомендуются локальные очистные сооружения (ЛОС), разработанные компанией «СБМ-Групп».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Моноблочная установка очистки бытовых стоков (хозяйственно-фекального происхождения) септик «Кедр» применим для канализования отдельного дома, коттеджа, в котором проживает 4-5 человек.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7.3. Теплоснабжение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а). Существующее положение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Централизованное теплоснабжение организовано на базе 3-х котельных, характеристики приведены в таблице № 7.4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C3EED">
        <w:rPr>
          <w:rFonts w:ascii="Times New Roman" w:hAnsi="Times New Roman" w:cs="Times New Roman"/>
          <w:iCs/>
          <w:sz w:val="20"/>
          <w:szCs w:val="20"/>
        </w:rPr>
        <w:t>Сведения о существующих котельных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7.4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3"/>
        <w:gridCol w:w="1695"/>
        <w:gridCol w:w="2060"/>
        <w:gridCol w:w="1394"/>
        <w:gridCol w:w="1394"/>
        <w:gridCol w:w="1237"/>
        <w:gridCol w:w="915"/>
      </w:tblGrid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408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№ по порядку</w:t>
            </w:r>
          </w:p>
        </w:tc>
        <w:tc>
          <w:tcPr>
            <w:tcW w:w="895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Положение в плане поселка (улица)</w:t>
            </w:r>
          </w:p>
        </w:tc>
        <w:tc>
          <w:tcPr>
            <w:tcW w:w="1088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Теплопроизводительность Гкал/час</w:t>
            </w:r>
          </w:p>
        </w:tc>
        <w:tc>
          <w:tcPr>
            <w:tcW w:w="736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Марка котлов, количество</w:t>
            </w:r>
          </w:p>
        </w:tc>
        <w:tc>
          <w:tcPr>
            <w:tcW w:w="736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Высота и диаметр трубы</w:t>
            </w:r>
          </w:p>
        </w:tc>
        <w:tc>
          <w:tcPr>
            <w:tcW w:w="653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Количество потребляемого топлива (вид топлива)</w:t>
            </w:r>
          </w:p>
        </w:tc>
        <w:tc>
          <w:tcPr>
            <w:tcW w:w="483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Количество дней работы в год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408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95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8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6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6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3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408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895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Ул. Ленина, 2а</w:t>
            </w:r>
          </w:p>
        </w:tc>
        <w:tc>
          <w:tcPr>
            <w:tcW w:w="1088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  <w:tc>
          <w:tcPr>
            <w:tcW w:w="736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Квр1-25 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Квр 0,8 </w:t>
            </w:r>
          </w:p>
        </w:tc>
        <w:tc>
          <w:tcPr>
            <w:tcW w:w="736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 - 20,0м; 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smartTag w:uri="urn:schemas-microsoft-com:office:smarttags" w:element="metricconverter">
              <w:smartTagPr>
                <w:attr w:name="ProductID" w:val="1800 мм"/>
              </w:smartTagPr>
              <w:r w:rsidRPr="006C3EED">
                <w:rPr>
                  <w:rFonts w:ascii="Times New Roman" w:hAnsi="Times New Roman" w:cs="Times New Roman"/>
                  <w:sz w:val="20"/>
                  <w:szCs w:val="20"/>
                </w:rPr>
                <w:t>1800 мм</w:t>
              </w:r>
            </w:smartTag>
          </w:p>
        </w:tc>
        <w:tc>
          <w:tcPr>
            <w:tcW w:w="653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Уголь 1200 т/год</w:t>
            </w:r>
          </w:p>
        </w:tc>
        <w:tc>
          <w:tcPr>
            <w:tcW w:w="483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408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95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Ул. Ширяева, 17а</w:t>
            </w:r>
          </w:p>
        </w:tc>
        <w:tc>
          <w:tcPr>
            <w:tcW w:w="1088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2,05</w:t>
            </w:r>
          </w:p>
        </w:tc>
        <w:tc>
          <w:tcPr>
            <w:tcW w:w="736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Квр1-25 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Квр 0,8 </w:t>
            </w:r>
          </w:p>
        </w:tc>
        <w:tc>
          <w:tcPr>
            <w:tcW w:w="736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 - 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20,0м; 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d - 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1200мм</w:t>
            </w:r>
          </w:p>
        </w:tc>
        <w:tc>
          <w:tcPr>
            <w:tcW w:w="653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Уголь 1300 т/год</w:t>
            </w:r>
          </w:p>
        </w:tc>
        <w:tc>
          <w:tcPr>
            <w:tcW w:w="483" w:type="pct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408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895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Ул. Школьная</w:t>
            </w:r>
          </w:p>
        </w:tc>
        <w:tc>
          <w:tcPr>
            <w:tcW w:w="1088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36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Кв-0,25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Кв-0,25</w:t>
            </w:r>
          </w:p>
        </w:tc>
        <w:tc>
          <w:tcPr>
            <w:tcW w:w="736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0.0 м"/>
              </w:smartTagPr>
              <w:r w:rsidRPr="006C3EED">
                <w:rPr>
                  <w:rFonts w:ascii="Times New Roman" w:hAnsi="Times New Roman" w:cs="Times New Roman"/>
                  <w:sz w:val="20"/>
                  <w:szCs w:val="20"/>
                </w:rPr>
                <w:t>10.0 м</w:t>
              </w:r>
            </w:smartTag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 – 400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653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Уголь 300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483" w:type="pct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Характеристика существующей системы теплоснабжения: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Тип системы – централизованная, закрытая, зависимая.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Вид тепловой нагрузки – отопительная.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Тепловые сети – двухтрубные тупиковые уложены в каналах диаметром 200мм.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Потребители – население, административно-общественные здания, прочие.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б). Проектное предложение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Проектом предлагается централизованное теплоснабжение от котельных в сочетании с децентрализованным в зависимости от расположения потребителей и их теплопотребления.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Централизованное теплоснабжение осуществляется от реконструируемых котельных. Характеристика приведена в таблице № 7.5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Характеристика котельных (мощность, топливо).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7.5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0" w:type="dxa"/>
        <w:tblLayout w:type="fixed"/>
        <w:tblLook w:val="01E0"/>
      </w:tblPr>
      <w:tblGrid>
        <w:gridCol w:w="468"/>
        <w:gridCol w:w="1680"/>
        <w:gridCol w:w="960"/>
        <w:gridCol w:w="1063"/>
        <w:gridCol w:w="1286"/>
        <w:gridCol w:w="929"/>
        <w:gridCol w:w="930"/>
        <w:gridCol w:w="1121"/>
        <w:gridCol w:w="1134"/>
      </w:tblGrid>
      <w:tr w:rsidR="006C3EED" w:rsidRPr="006C3EED" w:rsidTr="00873EF7">
        <w:tc>
          <w:tcPr>
            <w:tcW w:w="468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№ </w:t>
            </w:r>
            <w:r w:rsidRPr="006C3EED">
              <w:lastRenderedPageBreak/>
              <w:t>п/п</w:t>
            </w:r>
          </w:p>
        </w:tc>
        <w:tc>
          <w:tcPr>
            <w:tcW w:w="1680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lastRenderedPageBreak/>
              <w:t xml:space="preserve">Положение в </w:t>
            </w:r>
            <w:r w:rsidRPr="006C3EED">
              <w:lastRenderedPageBreak/>
              <w:t>плане</w:t>
            </w:r>
          </w:p>
        </w:tc>
        <w:tc>
          <w:tcPr>
            <w:tcW w:w="2023" w:type="dxa"/>
            <w:gridSpan w:val="2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lastRenderedPageBreak/>
              <w:t>Теплопроизводи-</w:t>
            </w:r>
            <w:r w:rsidRPr="006C3EED">
              <w:lastRenderedPageBreak/>
              <w:t>тельность Гкал/час</w:t>
            </w:r>
          </w:p>
        </w:tc>
        <w:tc>
          <w:tcPr>
            <w:tcW w:w="1286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lastRenderedPageBreak/>
              <w:t xml:space="preserve">Марка </w:t>
            </w:r>
            <w:r w:rsidRPr="006C3EED">
              <w:lastRenderedPageBreak/>
              <w:t>котлов</w:t>
            </w:r>
          </w:p>
        </w:tc>
        <w:tc>
          <w:tcPr>
            <w:tcW w:w="1859" w:type="dxa"/>
            <w:gridSpan w:val="2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lastRenderedPageBreak/>
              <w:t>Количество</w:t>
            </w:r>
          </w:p>
        </w:tc>
        <w:tc>
          <w:tcPr>
            <w:tcW w:w="2255" w:type="dxa"/>
            <w:gridSpan w:val="2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Топливо</w:t>
            </w:r>
          </w:p>
        </w:tc>
      </w:tr>
      <w:tr w:rsidR="006C3EED" w:rsidRPr="006C3EED" w:rsidTr="00873EF7">
        <w:tc>
          <w:tcPr>
            <w:tcW w:w="468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680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9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Первая очередь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(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6C3EED">
                <w:t>2018 г</w:t>
              </w:r>
            </w:smartTag>
            <w:r w:rsidRPr="006C3EED">
              <w:t>.)</w:t>
            </w:r>
          </w:p>
        </w:tc>
        <w:tc>
          <w:tcPr>
            <w:tcW w:w="1063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Расчетный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срок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(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6C3EED">
                <w:t>2028 г</w:t>
              </w:r>
            </w:smartTag>
            <w:r w:rsidRPr="006C3EED">
              <w:t>.)</w:t>
            </w:r>
          </w:p>
        </w:tc>
        <w:tc>
          <w:tcPr>
            <w:tcW w:w="1286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Первая очередь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(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6C3EED">
                <w:t>2018 г</w:t>
              </w:r>
            </w:smartTag>
            <w:r w:rsidRPr="006C3EED">
              <w:t>.)</w:t>
            </w: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Расчетный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срок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(</w:t>
            </w:r>
            <w:smartTag w:uri="urn:schemas-microsoft-com:office:smarttags" w:element="metricconverter">
              <w:smartTagPr>
                <w:attr w:name="ProductID" w:val="2028 г"/>
              </w:smartTagPr>
              <w:r w:rsidRPr="006C3EED">
                <w:t>2028 г</w:t>
              </w:r>
            </w:smartTag>
            <w:r w:rsidRPr="006C3EED">
              <w:t>.)</w:t>
            </w:r>
          </w:p>
        </w:tc>
        <w:tc>
          <w:tcPr>
            <w:tcW w:w="1121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Первая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очередь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уголь т/год</w:t>
            </w:r>
          </w:p>
        </w:tc>
        <w:tc>
          <w:tcPr>
            <w:tcW w:w="1134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Расчетный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срок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природный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газ млн.м</w:t>
            </w:r>
            <w:r w:rsidRPr="006C3EED">
              <w:rPr>
                <w:vertAlign w:val="superscript"/>
              </w:rPr>
              <w:t>3</w:t>
            </w:r>
            <w:r w:rsidRPr="006C3EED">
              <w:t>/год</w:t>
            </w:r>
          </w:p>
        </w:tc>
      </w:tr>
      <w:tr w:rsidR="006C3EED" w:rsidRPr="006C3EED" w:rsidTr="00873EF7">
        <w:tc>
          <w:tcPr>
            <w:tcW w:w="46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1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96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</w:t>
            </w:r>
          </w:p>
        </w:tc>
        <w:tc>
          <w:tcPr>
            <w:tcW w:w="1063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</w:t>
            </w: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</w:t>
            </w:r>
          </w:p>
        </w:tc>
        <w:tc>
          <w:tcPr>
            <w:tcW w:w="92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</w:t>
            </w:r>
          </w:p>
        </w:tc>
        <w:tc>
          <w:tcPr>
            <w:tcW w:w="93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</w:t>
            </w:r>
          </w:p>
        </w:tc>
        <w:tc>
          <w:tcPr>
            <w:tcW w:w="112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</w:t>
            </w:r>
          </w:p>
        </w:tc>
        <w:tc>
          <w:tcPr>
            <w:tcW w:w="113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9</w:t>
            </w:r>
          </w:p>
        </w:tc>
      </w:tr>
      <w:tr w:rsidR="006C3EED" w:rsidRPr="006C3EED" w:rsidTr="00873EF7">
        <w:tc>
          <w:tcPr>
            <w:tcW w:w="468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1680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Ул. Ленина</w:t>
            </w:r>
          </w:p>
        </w:tc>
        <w:tc>
          <w:tcPr>
            <w:tcW w:w="960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2,85</w:t>
            </w:r>
          </w:p>
        </w:tc>
        <w:tc>
          <w:tcPr>
            <w:tcW w:w="1063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4,10</w:t>
            </w: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Квр-1-25</w:t>
            </w: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1121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1670</w:t>
            </w:r>
          </w:p>
        </w:tc>
        <w:tc>
          <w:tcPr>
            <w:tcW w:w="1134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1,44</w:t>
            </w:r>
          </w:p>
        </w:tc>
      </w:tr>
      <w:tr w:rsidR="006C3EED" w:rsidRPr="006C3EED" w:rsidTr="00873EF7">
        <w:tc>
          <w:tcPr>
            <w:tcW w:w="468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680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960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063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Квр-0,8</w:t>
            </w: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1121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134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</w:tr>
      <w:tr w:rsidR="006C3EED" w:rsidRPr="006C3EED" w:rsidTr="00873EF7">
        <w:tc>
          <w:tcPr>
            <w:tcW w:w="468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1680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Ул. Ширяева</w:t>
            </w:r>
          </w:p>
        </w:tc>
        <w:tc>
          <w:tcPr>
            <w:tcW w:w="960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2,85</w:t>
            </w:r>
          </w:p>
        </w:tc>
        <w:tc>
          <w:tcPr>
            <w:tcW w:w="1063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4,10</w:t>
            </w: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Квр-1,25</w:t>
            </w: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1121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1670</w:t>
            </w:r>
          </w:p>
        </w:tc>
        <w:tc>
          <w:tcPr>
            <w:tcW w:w="1134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1,44</w:t>
            </w:r>
          </w:p>
        </w:tc>
      </w:tr>
      <w:tr w:rsidR="006C3EED" w:rsidRPr="006C3EED" w:rsidTr="00873EF7">
        <w:tc>
          <w:tcPr>
            <w:tcW w:w="468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680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960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063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Квр-0,8</w:t>
            </w: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1121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134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</w:tr>
      <w:tr w:rsidR="006C3EED" w:rsidRPr="006C3EED" w:rsidTr="00873EF7">
        <w:tc>
          <w:tcPr>
            <w:tcW w:w="468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</w:t>
            </w:r>
          </w:p>
        </w:tc>
        <w:tc>
          <w:tcPr>
            <w:tcW w:w="1680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Ул. Школьная</w:t>
            </w:r>
          </w:p>
        </w:tc>
        <w:tc>
          <w:tcPr>
            <w:tcW w:w="960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0,50</w:t>
            </w:r>
          </w:p>
        </w:tc>
        <w:tc>
          <w:tcPr>
            <w:tcW w:w="1063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0,50</w:t>
            </w: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Кв-0,25</w:t>
            </w: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1121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320</w:t>
            </w:r>
          </w:p>
        </w:tc>
        <w:tc>
          <w:tcPr>
            <w:tcW w:w="1134" w:type="dxa"/>
            <w:vMerge w:val="restart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0,18</w:t>
            </w:r>
          </w:p>
        </w:tc>
      </w:tr>
      <w:tr w:rsidR="006C3EED" w:rsidRPr="006C3EED" w:rsidTr="00873EF7">
        <w:tc>
          <w:tcPr>
            <w:tcW w:w="468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680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960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063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Кв-0,25</w:t>
            </w: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1121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134" w:type="dxa"/>
            <w:vMerge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</w:tr>
      <w:tr w:rsidR="006C3EED" w:rsidRPr="006C3EED" w:rsidTr="00873EF7">
        <w:tc>
          <w:tcPr>
            <w:tcW w:w="46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68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Итого</w:t>
            </w:r>
          </w:p>
        </w:tc>
        <w:tc>
          <w:tcPr>
            <w:tcW w:w="9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6,20</w:t>
            </w:r>
          </w:p>
        </w:tc>
        <w:tc>
          <w:tcPr>
            <w:tcW w:w="1063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8,70</w:t>
            </w:r>
          </w:p>
        </w:tc>
        <w:tc>
          <w:tcPr>
            <w:tcW w:w="1286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929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93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121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3660</w:t>
            </w:r>
          </w:p>
        </w:tc>
        <w:tc>
          <w:tcPr>
            <w:tcW w:w="1134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3,06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Частный сектор имеет печное отопление. Топливо на первую очередь – уголь, на расчетный срок – природный газ.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Строительство локальных котельных обеспечит экономию за счет уменьшения расходов на транспортировку.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Тепловая нагрузка составит 12.43 Гкал/час (табл. № 7.7), в том числе коммунально-бытовые – 859 Гкал/час на расчетный срок,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– 10.44 и 7.72.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Годовое теплопотребление населения – 16.0 тыс.Гкал/год, в т.ч.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– 15.1 тыс.Гкал/год.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Исходные данные для расчетов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7.6</w:t>
      </w:r>
    </w:p>
    <w:tbl>
      <w:tblPr>
        <w:tblStyle w:val="a7"/>
        <w:tblW w:w="0" w:type="auto"/>
        <w:tblInd w:w="0" w:type="dxa"/>
        <w:tblLook w:val="01E0"/>
      </w:tblPr>
      <w:tblGrid>
        <w:gridCol w:w="6804"/>
        <w:gridCol w:w="2665"/>
      </w:tblGrid>
      <w:tr w:rsidR="006C3EED" w:rsidRPr="006C3EED" w:rsidTr="00873EF7">
        <w:tc>
          <w:tcPr>
            <w:tcW w:w="680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Температура наружного воздуха</w:t>
            </w:r>
          </w:p>
        </w:tc>
        <w:tc>
          <w:tcPr>
            <w:tcW w:w="266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минус 37</w:t>
            </w:r>
            <w:r w:rsidRPr="006C3EED">
              <w:rPr>
                <w:vertAlign w:val="superscript"/>
              </w:rPr>
              <w:t>о</w:t>
            </w:r>
            <w:r w:rsidRPr="006C3EED">
              <w:t>С</w:t>
            </w:r>
          </w:p>
        </w:tc>
      </w:tr>
      <w:tr w:rsidR="006C3EED" w:rsidRPr="006C3EED" w:rsidTr="00873EF7">
        <w:tc>
          <w:tcPr>
            <w:tcW w:w="680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Средняя температура наружного воздуха за   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отопительный период</w:t>
            </w:r>
          </w:p>
        </w:tc>
        <w:tc>
          <w:tcPr>
            <w:tcW w:w="2665" w:type="dxa"/>
          </w:tcPr>
          <w:p w:rsidR="006C3EED" w:rsidRPr="006C3EED" w:rsidRDefault="006C3EED" w:rsidP="006C3EED">
            <w:pPr>
              <w:pStyle w:val="af7"/>
              <w:jc w:val="both"/>
            </w:pP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минус 9.4</w:t>
            </w:r>
            <w:r w:rsidRPr="006C3EED">
              <w:rPr>
                <w:vertAlign w:val="superscript"/>
              </w:rPr>
              <w:t>о</w:t>
            </w:r>
            <w:r w:rsidRPr="006C3EED">
              <w:t>С</w:t>
            </w:r>
          </w:p>
        </w:tc>
      </w:tr>
      <w:tr w:rsidR="006C3EED" w:rsidRPr="006C3EED" w:rsidTr="00873EF7">
        <w:tc>
          <w:tcPr>
            <w:tcW w:w="680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Температура внутри отапливаемых зданий</w:t>
            </w:r>
          </w:p>
        </w:tc>
        <w:tc>
          <w:tcPr>
            <w:tcW w:w="266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плюс 18</w:t>
            </w:r>
            <w:r w:rsidRPr="006C3EED">
              <w:rPr>
                <w:vertAlign w:val="superscript"/>
              </w:rPr>
              <w:t>о</w:t>
            </w:r>
            <w:r w:rsidRPr="006C3EED">
              <w:t>С</w:t>
            </w:r>
          </w:p>
        </w:tc>
      </w:tr>
      <w:tr w:rsidR="006C3EED" w:rsidRPr="006C3EED" w:rsidTr="00873EF7">
        <w:tc>
          <w:tcPr>
            <w:tcW w:w="680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Количество дней отапливаемого периода</w:t>
            </w:r>
          </w:p>
        </w:tc>
        <w:tc>
          <w:tcPr>
            <w:tcW w:w="266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240 суток</w:t>
            </w:r>
          </w:p>
        </w:tc>
      </w:tr>
      <w:tr w:rsidR="006C3EED" w:rsidRPr="006C3EED" w:rsidTr="00873EF7">
        <w:tc>
          <w:tcPr>
            <w:tcW w:w="680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Нормативный годовой расход на отопление</w:t>
            </w:r>
          </w:p>
        </w:tc>
        <w:tc>
          <w:tcPr>
            <w:tcW w:w="266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 Гкал/год</w:t>
            </w:r>
          </w:p>
        </w:tc>
      </w:tr>
      <w:tr w:rsidR="006C3EED" w:rsidRPr="006C3EED" w:rsidTr="00873EF7">
        <w:tc>
          <w:tcPr>
            <w:tcW w:w="6804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Нормативный расход на горячее водоснабжение</w:t>
            </w:r>
          </w:p>
        </w:tc>
        <w:tc>
          <w:tcPr>
            <w:tcW w:w="266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1.9 Гкал/год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Ориентировочные тепловые нагрузки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 7</w:t>
      </w:r>
    </w:p>
    <w:tbl>
      <w:tblPr>
        <w:tblStyle w:val="a7"/>
        <w:tblW w:w="0" w:type="auto"/>
        <w:tblInd w:w="0" w:type="dxa"/>
        <w:tblLook w:val="01E0"/>
      </w:tblPr>
      <w:tblGrid>
        <w:gridCol w:w="567"/>
        <w:gridCol w:w="5670"/>
        <w:gridCol w:w="1615"/>
        <w:gridCol w:w="1616"/>
      </w:tblGrid>
      <w:tr w:rsidR="006C3EED" w:rsidRPr="006C3EED" w:rsidTr="00873EF7">
        <w:tc>
          <w:tcPr>
            <w:tcW w:w="567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 xml:space="preserve">№ 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п/п</w:t>
            </w:r>
          </w:p>
        </w:tc>
        <w:tc>
          <w:tcPr>
            <w:tcW w:w="5670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Потребители</w:t>
            </w:r>
          </w:p>
        </w:tc>
        <w:tc>
          <w:tcPr>
            <w:tcW w:w="3231" w:type="dxa"/>
            <w:gridSpan w:val="2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Часовой расход тепла, Гкал/час</w:t>
            </w:r>
          </w:p>
        </w:tc>
      </w:tr>
      <w:tr w:rsidR="006C3EED" w:rsidRPr="006C3EED" w:rsidTr="00873EF7">
        <w:tc>
          <w:tcPr>
            <w:tcW w:w="567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5670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rPr>
                <w:lang w:val="en-US"/>
              </w:rPr>
              <w:t>I</w:t>
            </w:r>
            <w:r w:rsidRPr="006C3EED">
              <w:t xml:space="preserve"> очередь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Расчетный срок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</w:t>
            </w: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</w:t>
            </w: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Жилые дома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6.94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7.58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2.</w:t>
            </w: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Административно-общественный сектор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0.78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1.01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3.</w:t>
            </w: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Сельское хозяйство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0.81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0.93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4.</w:t>
            </w: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Промышленность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1.29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1.76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5.</w:t>
            </w: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Малое предпринимательство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0.35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0.68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6.</w:t>
            </w: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Прочие потребители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0.27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0.47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Итого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10.44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12.43</w:t>
            </w:r>
          </w:p>
        </w:tc>
      </w:tr>
      <w:tr w:rsidR="006C3EED" w:rsidRPr="006C3EED" w:rsidTr="00873EF7">
        <w:tc>
          <w:tcPr>
            <w:tcW w:w="567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567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в т.ч. коммунально-бытовые</w:t>
            </w:r>
          </w:p>
        </w:tc>
        <w:tc>
          <w:tcPr>
            <w:tcW w:w="1615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7.72</w:t>
            </w:r>
          </w:p>
        </w:tc>
        <w:tc>
          <w:tcPr>
            <w:tcW w:w="161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8.59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Примечание: расход тепла, пара промышленных площадок определяется технологией. Исходя из этого, назначаются мощности котельных.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Часовые расходы тепла на отопление, вентиляцию и горячее водоснабжение общественных зданий приняты ориентировочно по аналогам типовых проектов, жилых домов – по укрупненным показателям согласно методическим рекомендациям.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Расход топлива – 6300т/год, в т.ч.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– 5250т/год.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7.4. Газоснабжение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а). Существующее положение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 настоящее время поселок не газифицирован.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б) Проектное предложение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Использование газа предусматривается всеми потребителями населенного пункта, а в особенности населением: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хозяйственно-бытовые нужды (пищеприготовление, подогрев воды);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автономное отопление.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Годовой расход газа для населения составит 2.1 млн.м3/год, часовой – 475.0м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/час (табл. № 7. 8).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Расчеты выполнены по нормам расхода газа на одного человека в год согласно Методическим рекомендациям: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средняя норма расхода газа на хозяйственно-бытовые нужды – 240-260м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на автономное отопление жилых домов – 850-900м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6C3EED">
        <w:rPr>
          <w:rFonts w:ascii="Times New Roman" w:hAnsi="Times New Roman" w:cs="Times New Roman"/>
          <w:sz w:val="20"/>
          <w:szCs w:val="20"/>
        </w:rPr>
        <w:t>).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Расходы газа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7.8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0" w:type="dxa"/>
        <w:tblLayout w:type="fixed"/>
        <w:tblLook w:val="01E0"/>
      </w:tblPr>
      <w:tblGrid>
        <w:gridCol w:w="680"/>
        <w:gridCol w:w="4253"/>
        <w:gridCol w:w="2268"/>
        <w:gridCol w:w="2268"/>
      </w:tblGrid>
      <w:tr w:rsidR="006C3EED" w:rsidRPr="006C3EED" w:rsidTr="00873EF7">
        <w:tc>
          <w:tcPr>
            <w:tcW w:w="680" w:type="dxa"/>
            <w:tcBorders>
              <w:bottom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№</w:t>
            </w:r>
          </w:p>
        </w:tc>
        <w:tc>
          <w:tcPr>
            <w:tcW w:w="4253" w:type="dxa"/>
            <w:tcBorders>
              <w:bottom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Показатели</w:t>
            </w:r>
          </w:p>
        </w:tc>
        <w:tc>
          <w:tcPr>
            <w:tcW w:w="2268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Годовой, тыс.м</w:t>
            </w:r>
            <w:r w:rsidRPr="006C3EED">
              <w:rPr>
                <w:vertAlign w:val="superscript"/>
              </w:rPr>
              <w:t>3</w:t>
            </w:r>
            <w:r w:rsidRPr="006C3EED">
              <w:t>/год</w:t>
            </w:r>
          </w:p>
        </w:tc>
        <w:tc>
          <w:tcPr>
            <w:tcW w:w="2268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Часовой, м</w:t>
            </w:r>
            <w:r w:rsidRPr="006C3EED">
              <w:rPr>
                <w:vertAlign w:val="superscript"/>
              </w:rPr>
              <w:t>3</w:t>
            </w:r>
            <w:r w:rsidRPr="006C3EED">
              <w:t>/час</w:t>
            </w:r>
          </w:p>
        </w:tc>
      </w:tr>
      <w:tr w:rsidR="006C3EED" w:rsidRPr="006C3EED" w:rsidTr="00873EF7">
        <w:tc>
          <w:tcPr>
            <w:tcW w:w="680" w:type="dxa"/>
            <w:tcBorders>
              <w:top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п/п</w:t>
            </w:r>
          </w:p>
        </w:tc>
        <w:tc>
          <w:tcPr>
            <w:tcW w:w="4253" w:type="dxa"/>
            <w:tcBorders>
              <w:top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2268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2268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</w:t>
            </w:r>
          </w:p>
        </w:tc>
        <w:tc>
          <w:tcPr>
            <w:tcW w:w="4253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Хозяйственно-бытовые нужды</w:t>
            </w:r>
          </w:p>
        </w:tc>
        <w:tc>
          <w:tcPr>
            <w:tcW w:w="226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450.0</w:t>
            </w:r>
          </w:p>
        </w:tc>
        <w:tc>
          <w:tcPr>
            <w:tcW w:w="226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75.0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2.</w:t>
            </w:r>
          </w:p>
        </w:tc>
        <w:tc>
          <w:tcPr>
            <w:tcW w:w="4253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Автономное отопление жилых домов</w:t>
            </w:r>
          </w:p>
        </w:tc>
        <w:tc>
          <w:tcPr>
            <w:tcW w:w="226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1620.0</w:t>
            </w:r>
          </w:p>
        </w:tc>
        <w:tc>
          <w:tcPr>
            <w:tcW w:w="226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400.0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253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Итого</w:t>
            </w:r>
          </w:p>
        </w:tc>
        <w:tc>
          <w:tcPr>
            <w:tcW w:w="226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2070.0</w:t>
            </w:r>
          </w:p>
        </w:tc>
        <w:tc>
          <w:tcPr>
            <w:tcW w:w="2268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475.0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Проект газоснабжения разрабатывался специализированным институтом «ГипроНИИгаз» и все изменения, как-то увеличение потребителей газа, сети и сооружения для новых производств и участков застройки должны согласовываться и корректироваться разработчиком. В связи с тем, что намечается развитие промышленности и сельского хозяйства, необходима разработка проекта газоснабжения поселения.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7.5. Электроснабжение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а). Существующее положение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Электроснабжение села централизованное, осуществляется от Пролетарской подстанции ПС 110/10 «Пролетарская». От подстанции энергия распределяется по трансформаторным подстанциям 10/0.4. Список существующих подстанций и их мощность  приведены в таблице № 7.8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6C3EED">
        <w:rPr>
          <w:rFonts w:ascii="Times New Roman" w:hAnsi="Times New Roman" w:cs="Times New Roman"/>
          <w:iCs/>
          <w:sz w:val="20"/>
          <w:szCs w:val="20"/>
        </w:rPr>
        <w:t>Характеристика существующих потребительских подстанций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7.8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3420"/>
        <w:gridCol w:w="2160"/>
        <w:gridCol w:w="2520"/>
      </w:tblGrid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№ по порядку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Положение в плане населенного пункта (улица) / присвоенный номер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Мощность ТП,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к.ВА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Примечания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Территория складского сектора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400 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Состояние удовлетворительное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Улица Ширяева (у котельной)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Улица Ширяева (в жилом квартале)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Территория складского сектора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Улица Ширяева (в жилом квартале)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Улица Мира (западная окраина, у леса)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Улица Ленина, в створе 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ул. Крылова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жилой застройке (восточный квартал, около ФКРС)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На трассе Новосибирск – Кочки (около АЗС)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На территории машинотракторного двора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6C3E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На территории фермы КРС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Улица Школьная (около общежития)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На перекрестке улиц Ленина и Комсомольской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</w:tr>
      <w:tr w:rsidR="006C3EED" w:rsidRPr="006C3EED" w:rsidTr="00873EF7">
        <w:tblPrEx>
          <w:tblCellMar>
            <w:top w:w="0" w:type="dxa"/>
            <w:bottom w:w="0" w:type="dxa"/>
          </w:tblCellMar>
        </w:tblPrEx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1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2706</w:t>
            </w:r>
          </w:p>
        </w:tc>
        <w:tc>
          <w:tcPr>
            <w:tcW w:w="252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б). Проектное предложение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Электроснабжение предусматривается от ПС «Пролетарская»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Расчетная нагрузка составит 2.5 тыс.кВт на расчетный срок,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2.2 тыс.кВт.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Потребная мощность – 1.9 тыс. кВА, в т.ч. на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– 1.67 тыс. кВА (табл. 9).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Расчеты выполнены на основании анализа существующего положения и по удельным нагрузкам. По производственным площадкам нагрузки приняты ориентировочно.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трансформирования потребной мощности используются существующие и новые подстанции 10/0.4кВ.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Потребители по надежности электроснабжения относятся ко 2 и 3 категориям, кроме котельных и насосных станций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и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подъема, которые относятся к 1 категории. Питание осуществляется от двух независимых источников. Резервное питание от дизельных электростанций.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Совместное использование мощностей существующих и проектируемых подстанций зависит от потребляемой мощности и их технического состояния.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Сети, местоположение, мощности подстанций уточняются на следующей стадии согласно техническим условиям.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Проектируемые подстанции: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На территории проектируемого водозабора – 2 х 250 к.ВА;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На территории проектируемых канализационных сооружений – 2 х 160 к.ВА;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На территории проектируемой усадебной застройки – 2х 160 к.ВА.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расчетных нагрузок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7.9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0" w:type="dxa"/>
        <w:tblLook w:val="01E0"/>
      </w:tblPr>
      <w:tblGrid>
        <w:gridCol w:w="680"/>
        <w:gridCol w:w="4536"/>
        <w:gridCol w:w="2126"/>
        <w:gridCol w:w="2126"/>
      </w:tblGrid>
      <w:tr w:rsidR="006C3EED" w:rsidRPr="006C3EED" w:rsidTr="00873EF7">
        <w:tc>
          <w:tcPr>
            <w:tcW w:w="680" w:type="dxa"/>
            <w:tcBorders>
              <w:bottom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№</w:t>
            </w:r>
          </w:p>
        </w:tc>
        <w:tc>
          <w:tcPr>
            <w:tcW w:w="4536" w:type="dxa"/>
            <w:tcBorders>
              <w:bottom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Виды потребления</w:t>
            </w:r>
          </w:p>
        </w:tc>
        <w:tc>
          <w:tcPr>
            <w:tcW w:w="4252" w:type="dxa"/>
            <w:gridSpan w:val="2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Нагрузки, кВт</w:t>
            </w:r>
          </w:p>
        </w:tc>
      </w:tr>
      <w:tr w:rsidR="006C3EED" w:rsidRPr="006C3EED" w:rsidTr="00873EF7">
        <w:tc>
          <w:tcPr>
            <w:tcW w:w="680" w:type="dxa"/>
            <w:tcBorders>
              <w:top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п/п</w:t>
            </w:r>
          </w:p>
        </w:tc>
        <w:tc>
          <w:tcPr>
            <w:tcW w:w="4536" w:type="dxa"/>
            <w:tcBorders>
              <w:top w:val="nil"/>
            </w:tcBorders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Расчетный срок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rPr>
                <w:lang w:val="en-US"/>
              </w:rPr>
              <w:t>I</w:t>
            </w:r>
            <w:r w:rsidRPr="006C3EED">
              <w:t xml:space="preserve"> очередь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1.</w:t>
            </w: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Население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1263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1180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2.</w:t>
            </w: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Административно-общественный сектор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346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290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3.</w:t>
            </w: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Сельское хозяйство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410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360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4.</w:t>
            </w: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Промышленность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219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187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5.</w:t>
            </w: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Малое предпринимательство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101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86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6.</w:t>
            </w: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Прочие потребители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165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110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Итого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2504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2213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453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в т.ч. коммунально-бытовые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1604</w:t>
            </w:r>
          </w:p>
        </w:tc>
        <w:tc>
          <w:tcPr>
            <w:tcW w:w="2126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1470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Электропотребление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Электропотребление на коммунально-бытовые нужды составит 5.61млн. кВт.час в год. 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Удельное электропотребление на одного человека – 3118 кВт.час.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На первоочередной период – 5.15млн. кВт.час в год, удельное – 2858 кВт.час.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7.6. Телефонизация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Услуги связи в поселке оказывают ОАО «Сибирьтелеком» и подразделение сотовой связи компаний «Билайн» и МТС.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Количество необходимых телефонных точек составит 486шт., при норме телефонной плотности 270 телефонов на 1000 жителей, на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– 454 телефонных точек.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7.7. Радиофикация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Проектом намечается 100% охват населения радиовещанием.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Количество радиоточек на перспективу составит 750шт., в т.ч. на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– 650р.т. с учетом радиоточек в общественных зданиях.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7.8. Санитарная очистка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Количество отходов составит 720т в год, в том числе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6C3EED">
        <w:rPr>
          <w:rFonts w:ascii="Times New Roman" w:hAnsi="Times New Roman" w:cs="Times New Roman"/>
          <w:sz w:val="20"/>
          <w:szCs w:val="20"/>
        </w:rPr>
        <w:t xml:space="preserve"> очередь – 680т/год.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Сбор и вывоз отбросов осуществляется службой коммунального хозяйства.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Расчетные нормы накоплений отходов приняты по «Сборнику удельных показателей образования отходов производства и потребления», утвержденному Государственным комитетом Российской Федерации по охране окружающей среды.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Среднегодовая норма образования и накопления отходов принята 450кг на одного человека.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Сбор и вывоз мусора осуществляется мусоровозным транспортом, который работает по маршруту в строго определенные часы.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  <w:lang w:val="en-US"/>
        </w:rPr>
        <w:t>III</w:t>
      </w:r>
      <w:r w:rsidRPr="006C3EED">
        <w:rPr>
          <w:rFonts w:ascii="Times New Roman" w:hAnsi="Times New Roman" w:cs="Times New Roman"/>
          <w:b/>
          <w:i/>
          <w:sz w:val="20"/>
          <w:szCs w:val="20"/>
        </w:rPr>
        <w:t>. Перечень основных факторов риска возникновения чрезвычайных ситуаций техногенного характера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8. Охрана окружающей среды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8.1. Инженерно-технические мероприятия по гражданской обороне.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Инженерно-технические мероприятия разработаны согласно требований инструкции ВСН ГО-38-83 и в соответствии с действующими СНиП.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Противорадиационные укрытия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Число жителей по городу 1800 человек, в том числе на первую очередь 1700 человек.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Число укрываемых: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1800 х 0.85 = 1530 чел.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1700 х 0.85 = 1445 чел.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(коэффициент 0.85 принят согласно нормативным документам).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Площадь на одного укрываемого принята 0.5м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C3EED">
        <w:rPr>
          <w:rFonts w:ascii="Times New Roman" w:hAnsi="Times New Roman" w:cs="Times New Roman"/>
          <w:sz w:val="20"/>
          <w:szCs w:val="20"/>
        </w:rPr>
        <w:t>, площадь дл хранения загрязненной одежды 0.07м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C3EED">
        <w:rPr>
          <w:rFonts w:ascii="Times New Roman" w:hAnsi="Times New Roman" w:cs="Times New Roman"/>
          <w:sz w:val="20"/>
          <w:szCs w:val="20"/>
        </w:rPr>
        <w:t xml:space="preserve"> на одного укрываемого. Всего 0.57м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Потребная площадь ПРУ составляет: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0.57 х 1530 = 872м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0.57 х 1445 = 824м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C3EED">
        <w:rPr>
          <w:rFonts w:ascii="Times New Roman" w:hAnsi="Times New Roman" w:cs="Times New Roman"/>
          <w:sz w:val="20"/>
          <w:szCs w:val="20"/>
        </w:rPr>
        <w:t>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Нормы площади помещений в школе приняты согласно п.2.46 позиции 17-19, табл.10 СНиП 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6C3EED">
        <w:rPr>
          <w:rFonts w:ascii="Times New Roman" w:hAnsi="Times New Roman" w:cs="Times New Roman"/>
          <w:sz w:val="20"/>
          <w:szCs w:val="20"/>
        </w:rPr>
        <w:t>-11-87 (ученики до 12 лет – 1м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C3EED">
        <w:rPr>
          <w:rFonts w:ascii="Times New Roman" w:hAnsi="Times New Roman" w:cs="Times New Roman"/>
          <w:sz w:val="20"/>
          <w:szCs w:val="20"/>
        </w:rPr>
        <w:t xml:space="preserve"> на одного укрываемого, старше 12 лет – 0.5м</w:t>
      </w:r>
      <w:r w:rsidRPr="006C3EE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C3EED">
        <w:rPr>
          <w:rFonts w:ascii="Times New Roman" w:hAnsi="Times New Roman" w:cs="Times New Roman"/>
          <w:sz w:val="20"/>
          <w:szCs w:val="20"/>
        </w:rPr>
        <w:t>) для больших площадей помещений принята по позиции А табл.10, для детских яслей-сада п.2.46 позиция 17.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Конструктивные решения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повышения защитных свойств зданий, где намечено разместить ПРУ, предусматриваются следующие мероприятия в особый период (режима укрытия):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 xml:space="preserve">Устройство пристенных экранов у наружных стен первых этажей из мешков с грунтом на высоту </w:t>
      </w:r>
      <w:smartTag w:uri="urn:schemas-microsoft-com:office:smarttags" w:element="metricconverter">
        <w:smartTagPr>
          <w:attr w:name="ProductID" w:val="1.7 метра"/>
        </w:smartTagPr>
        <w:r w:rsidRPr="006C3EED">
          <w:rPr>
            <w:rFonts w:ascii="Times New Roman" w:hAnsi="Times New Roman" w:cs="Times New Roman"/>
            <w:sz w:val="20"/>
            <w:szCs w:val="20"/>
          </w:rPr>
          <w:t>1.7 метра</w:t>
        </w:r>
      </w:smartTag>
      <w:r w:rsidRPr="006C3EED">
        <w:rPr>
          <w:rFonts w:ascii="Times New Roman" w:hAnsi="Times New Roman" w:cs="Times New Roman"/>
          <w:sz w:val="20"/>
          <w:szCs w:val="20"/>
        </w:rPr>
        <w:t xml:space="preserve"> от отметки пола.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Заделка оконных проемов кирпичом и установка стенок экранов во входах.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Инженерное оборудование ПРУ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Вентиляция во всех зданиях, приспособленных под ПРУ, принята с механическим побуждением.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Отопление, водоснабжение, канализация, электроснабжение, связь по условиям эксплуатации зданий в мирное время.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b/>
          <w:sz w:val="20"/>
          <w:szCs w:val="20"/>
          <w:u w:val="single"/>
        </w:rPr>
        <w:t>8.2. Инженерно-технические мероприятия по предупреждению чрезвычайных ситуаций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Причинами чрезвычайных ситуаций природного и техногенного характера может быть: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пожар;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аварии на инженерных сетях.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Для предупреждения и минимизации последствий сейсмического воздействия все сооружения и здания проектируются с учетом сейсмики в соответствии с действующими строительными нормами.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Пожар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Противопожарные мероприятия учитывают все нормативные требования при проектировании зданий с учетом пожарной сигнализации и оповещения людей при пожаре.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обеспечения средств пожаротушения водой на сетях водопровода устанавливаются пожарные гидранты. Хранение противопожарного запаса в резервуарах.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возможного забора воды из поверхностных источников устраиваются съезды, обеспечивающие беспрепятственный подъезд в коде.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</w:rPr>
        <w:t>Аварии на сетях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lastRenderedPageBreak/>
        <w:t>Энергоснабжение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Создается запас воды на время аварии.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- Для основных источников питьевой воды (скважин) наряду с трансформаторными подстанциями устанавливаются автоматические дизельные электростанции.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Водопровод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Для каждого района райцентра предлагается самостоятельная система водоснабжения со строительством запасных емкостей питьевой воды, поэтому авария на одной из систем не повлечет значительных последствий для всего поселка.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C3EED">
        <w:rPr>
          <w:rFonts w:ascii="Times New Roman" w:hAnsi="Times New Roman" w:cs="Times New Roman"/>
          <w:sz w:val="20"/>
          <w:szCs w:val="20"/>
          <w:u w:val="single"/>
        </w:rPr>
        <w:t>Канализация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В каждом районе застройки предусматриваются локальные системы очистки стоков сооружениями биологической очистки.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Таблица № 8.1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Ind w:w="0" w:type="dxa"/>
        <w:tblLayout w:type="fixed"/>
        <w:tblLook w:val="01E0"/>
      </w:tblPr>
      <w:tblGrid>
        <w:gridCol w:w="680"/>
        <w:gridCol w:w="3289"/>
        <w:gridCol w:w="1361"/>
        <w:gridCol w:w="1361"/>
        <w:gridCol w:w="1361"/>
        <w:gridCol w:w="1361"/>
      </w:tblGrid>
      <w:tr w:rsidR="006C3EED" w:rsidRPr="006C3EED" w:rsidTr="00873EF7">
        <w:tc>
          <w:tcPr>
            <w:tcW w:w="680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№</w:t>
            </w:r>
          </w:p>
          <w:p w:rsidR="006C3EED" w:rsidRPr="006C3EED" w:rsidRDefault="006C3EED" w:rsidP="006C3EED">
            <w:pPr>
              <w:pStyle w:val="af7"/>
              <w:jc w:val="both"/>
            </w:pPr>
            <w:r w:rsidRPr="006C3EED">
              <w:t>по ГП</w:t>
            </w:r>
          </w:p>
        </w:tc>
        <w:tc>
          <w:tcPr>
            <w:tcW w:w="3289" w:type="dxa"/>
            <w:vMerge w:val="restart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Объекты с проектируемым укрытием</w:t>
            </w:r>
          </w:p>
        </w:tc>
        <w:tc>
          <w:tcPr>
            <w:tcW w:w="2722" w:type="dxa"/>
            <w:gridSpan w:val="2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Площадь, м</w:t>
            </w:r>
            <w:r w:rsidRPr="006C3EED">
              <w:rPr>
                <w:vertAlign w:val="superscript"/>
              </w:rPr>
              <w:t>2</w:t>
            </w:r>
          </w:p>
        </w:tc>
        <w:tc>
          <w:tcPr>
            <w:tcW w:w="2722" w:type="dxa"/>
            <w:gridSpan w:val="2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Кол-во укрываемых, чел.</w:t>
            </w:r>
          </w:p>
        </w:tc>
      </w:tr>
      <w:tr w:rsidR="006C3EED" w:rsidRPr="006C3EED" w:rsidTr="00873EF7">
        <w:tc>
          <w:tcPr>
            <w:tcW w:w="680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3289" w:type="dxa"/>
            <w:vMerge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rPr>
                <w:lang w:val="en-US"/>
              </w:rPr>
              <w:t xml:space="preserve">I </w:t>
            </w:r>
            <w:r w:rsidRPr="006C3EED">
              <w:t>очередь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Расчетный срок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rPr>
                <w:lang w:val="en-US"/>
              </w:rPr>
              <w:t xml:space="preserve">I </w:t>
            </w:r>
            <w:r w:rsidRPr="006C3EED">
              <w:t>очередь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Расчетный срок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328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Школа на 300 учащихся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310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360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450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450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328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Детский сад на 40 мест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145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180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145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180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328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Дом культуры на 225 мест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460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460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800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800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328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Админ.-обществ. здание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70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100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100</w:t>
            </w:r>
          </w:p>
        </w:tc>
      </w:tr>
      <w:tr w:rsidR="006C3EED" w:rsidRPr="006C3EED" w:rsidTr="00873EF7">
        <w:tc>
          <w:tcPr>
            <w:tcW w:w="680" w:type="dxa"/>
          </w:tcPr>
          <w:p w:rsidR="006C3EED" w:rsidRPr="006C3EED" w:rsidRDefault="006C3EED" w:rsidP="006C3EED">
            <w:pPr>
              <w:pStyle w:val="af7"/>
              <w:jc w:val="both"/>
            </w:pPr>
          </w:p>
        </w:tc>
        <w:tc>
          <w:tcPr>
            <w:tcW w:w="3289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Итого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985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1080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1445</w:t>
            </w:r>
          </w:p>
        </w:tc>
        <w:tc>
          <w:tcPr>
            <w:tcW w:w="1361" w:type="dxa"/>
          </w:tcPr>
          <w:p w:rsidR="006C3EED" w:rsidRPr="006C3EED" w:rsidRDefault="006C3EED" w:rsidP="006C3EED">
            <w:pPr>
              <w:pStyle w:val="af7"/>
              <w:jc w:val="both"/>
            </w:pPr>
            <w:r w:rsidRPr="006C3EED">
              <w:t>1530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6C3EED">
        <w:rPr>
          <w:rFonts w:ascii="Times New Roman" w:hAnsi="Times New Roman" w:cs="Times New Roman"/>
          <w:b/>
          <w:i/>
          <w:sz w:val="20"/>
          <w:szCs w:val="20"/>
          <w:lang w:val="en-US"/>
        </w:rPr>
        <w:t>IV</w:t>
      </w:r>
      <w:r w:rsidRPr="006C3EED">
        <w:rPr>
          <w:rFonts w:ascii="Times New Roman" w:hAnsi="Times New Roman" w:cs="Times New Roman"/>
          <w:b/>
          <w:i/>
          <w:sz w:val="20"/>
          <w:szCs w:val="20"/>
        </w:rPr>
        <w:t>. Основные технико-экономические показатели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2825"/>
        <w:gridCol w:w="1538"/>
        <w:gridCol w:w="1387"/>
        <w:gridCol w:w="1260"/>
        <w:gridCol w:w="1417"/>
      </w:tblGrid>
      <w:tr w:rsidR="006C3EED" w:rsidRPr="006C3EED" w:rsidTr="00873EF7">
        <w:tc>
          <w:tcPr>
            <w:tcW w:w="576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25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Ед. измерения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Современ-ное положение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 очередь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Расчетный срок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Территория Пролетарского сельсовета (всего)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28176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28176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28176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Территория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Площадь территории в границах поселковой черты (в ведении Пролетарского сельсовета)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2735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4445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4445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том числе территории: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жилых зон (кварталы)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90,4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106,0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объектов социального и культурно-бытового обслуживания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улицы, дороги, проезды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производственных зон и коммунальных территорий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40,0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санитарно-защитные зоны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парковые и рекреационные зоны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резервные жилые кварталы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17,0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 xml:space="preserve">прочие территории 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(залесенные, водоемы, непригодные, коридоры коммуникаций и пр.)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2572,0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4198,0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4093,0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Население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1598</w:t>
            </w: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Плотность населения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чел./га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Жилищный фонд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Общая площадь жилых домов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6C3E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общ. площ.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квартир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33,6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39,1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45,0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545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строительство, всего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2,3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5,05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т.ч. жилые дома с приусадебными участками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2,3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5,05</w:t>
            </w:r>
          </w:p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Транспортная инфраструктура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Протяженность улично-дорожной сети, всего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19,5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-улицы и проезды местного значения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15,7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-производственные дороги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-дороги районного значения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Инженерное оборудование и благоустройство территории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расходы воды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C3E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755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т.ч. жилая зона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485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535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</w:tc>
        <w:tc>
          <w:tcPr>
            <w:tcW w:w="5602" w:type="dxa"/>
            <w:gridSpan w:val="4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подземные воды (скважины)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расход стоков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C3E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т.ч. жилая зона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очистка</w:t>
            </w:r>
          </w:p>
        </w:tc>
        <w:tc>
          <w:tcPr>
            <w:tcW w:w="5602" w:type="dxa"/>
            <w:gridSpan w:val="4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очистные сооружения КУ-700 «РОСВОД»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Теплоснабжение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расход тепла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Гкал/час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10.44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12.43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т.ч. жилая зона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7.72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8.59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годовое потребление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тыс.Гкал/год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16.0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15.1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</w:tc>
        <w:tc>
          <w:tcPr>
            <w:tcW w:w="5602" w:type="dxa"/>
            <w:gridSpan w:val="4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котельные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топливо</w:t>
            </w:r>
          </w:p>
        </w:tc>
        <w:tc>
          <w:tcPr>
            <w:tcW w:w="5602" w:type="dxa"/>
            <w:gridSpan w:val="4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5.4.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Газоснабжение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годовой расход газа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6C3E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/год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2070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часовой расход газа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C3EED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/час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</w:tc>
        <w:tc>
          <w:tcPr>
            <w:tcW w:w="5602" w:type="dxa"/>
            <w:gridSpan w:val="4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природный газ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5.5.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Электроснабжение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нагрузка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тыс.кВт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необходимая мощность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тыс.кВА</w:t>
            </w:r>
          </w:p>
        </w:tc>
        <w:tc>
          <w:tcPr>
            <w:tcW w:w="138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1417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электропотребление</w:t>
            </w:r>
          </w:p>
        </w:tc>
        <w:tc>
          <w:tcPr>
            <w:tcW w:w="1538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млн.кВт/час в год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5.61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удельное электропотребле-ние в год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кВт/час на 1 человека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2585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3118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</w:tc>
        <w:tc>
          <w:tcPr>
            <w:tcW w:w="5602" w:type="dxa"/>
            <w:gridSpan w:val="4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существующие подстанции системы «Новосибирскэнерго»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5.6.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Телефонизация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количество телефонов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тел.т.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486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5.7.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Радиофикация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р.точ.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643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5.8.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Количество твердых быто-вых отходов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в т.ч. утилизируемых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-*-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720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Охрана окружающей среды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6.1.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Озеленение санитарно-защитных зон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</w:tr>
      <w:tr w:rsidR="006C3EED" w:rsidRPr="006C3EED" w:rsidTr="00873EF7">
        <w:tc>
          <w:tcPr>
            <w:tcW w:w="576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6.2.</w:t>
            </w:r>
          </w:p>
        </w:tc>
        <w:tc>
          <w:tcPr>
            <w:tcW w:w="2825" w:type="dxa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Озеленение рекреационных зон (парк, спортивная зона)</w:t>
            </w:r>
          </w:p>
        </w:tc>
        <w:tc>
          <w:tcPr>
            <w:tcW w:w="1538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138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417" w:type="dxa"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3,8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bookmarkStart w:id="2" w:name="_Toc183075456"/>
      <w:r w:rsidRPr="006C3EED">
        <w:rPr>
          <w:rFonts w:ascii="Times New Roman" w:hAnsi="Times New Roman" w:cs="Times New Roman"/>
          <w:sz w:val="20"/>
          <w:szCs w:val="20"/>
        </w:rPr>
        <w:t>V. Приложения</w:t>
      </w:r>
      <w:bookmarkEnd w:id="2"/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9. Рабочие наборы чертежей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Ситуационная схема, масштаб 1:200000, арх. № ГП-21114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Ситуация_оформление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Ситуация_рамка_штамп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Ситуация_дороги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Граница_района_ситуация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Ситуация_подложка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Ситуация_населенные_пункты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Ситуация_водоем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Ситуация_охранная_водоема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Граница_НП_ситуация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ордынка_100000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Схема функционального зонирования, масштаб 1:10000, арх. № ГП-21115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СП_сооружения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СП_культбыт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СП_оформление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СП_условные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СП_водоем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СП_прибрежная_ЗП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СП_водоохранная_зона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ЗУ_Пролетарский_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RR</w:t>
      </w:r>
      <w:r w:rsidRPr="006C3EED">
        <w:rPr>
          <w:rFonts w:ascii="Times New Roman" w:hAnsi="Times New Roman" w:cs="Times New Roman"/>
          <w:sz w:val="20"/>
          <w:szCs w:val="20"/>
        </w:rPr>
        <w:t>_Пролетарский_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Рамка_штамп_10000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СП_сети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СП_СЗЗ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СП_жилые_проект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СП_жилые_существ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СП_промка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Оп_Граница_НП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ГП_Граница_НП_проект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СП_дороги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СП_существ_зелень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СП_подложка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Красные_линии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Ордынка_100000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План современного использования, масштаб 1:2000, арх. № ГП-21116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Оп_этажность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Оп_оформление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Оп_улицы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Оп_экспликация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Оп_рамка_штамп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Оп_условные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Оп_обществ_здания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Оп_жилые_здания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Оп_произв_здания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ЗУ_Пролетарский_New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КК_Пролетарский_New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Оп_Граница_НП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Оп_скрытый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Оп_существ_зелень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Оп_обществ_площадки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Оп_кружки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Оп_сети_существующие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Оп_произв_площадки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Оп_СЗЗ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Оп_цвет_проект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lastRenderedPageBreak/>
        <w:t>Оп_дороги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пролетарский_ортофото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Генеральный план с эскизом застройки, масштаб 1:2000, Арх. № ГП-21117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Оп_этажность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ГП_оформление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Оп_улицы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ГП_экспликация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ГП_рамка_штамп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ГП_участки_жилые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ГП_условные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Оп_обществ_здания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Оп_жилые_здания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Оп_произв_здания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ГП_культбыт_проект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ГП_жилые_проект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ГП_кружки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ГП_тени_проект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ЗУ_Пролетарский_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КК_Пролетарский_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Оп_Граница_НП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ГП_Граница_НП_проект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ГП_скрытый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ГП_сети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Красные_линии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ГП_промка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ГП_СЗЗ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Оп_существ_зелень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ГП_зелень_проект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ГП_пешеходка_проект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ГП_обществ_площадки  (для ч/б варианта – открыть, для цветного – закрыть)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ГП_цвет_проект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ГП_дороги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пролетарский_ортофото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Схема инженерных сетей, масштаб 1:2000, арх. № ГП-21118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Сети_надписи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Оп_этажность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Сети_оформление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Оп_улицы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Сети_рамка_штамп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Сети_сооружения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Сети_условные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Оп_обществ_здания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Оп_жилые_здания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Оп_произв_здания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ГП_культбыт_проект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ГП_жилые_проект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ЗУ_Пролетарский_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КК_Пролетарский_</w:t>
      </w:r>
      <w:r w:rsidRPr="006C3EED">
        <w:rPr>
          <w:rFonts w:ascii="Times New Roman" w:hAnsi="Times New Roman" w:cs="Times New Roman"/>
          <w:sz w:val="20"/>
          <w:szCs w:val="20"/>
          <w:lang w:val="en-US"/>
        </w:rPr>
        <w:t>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Оп_Граница_НП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ГП_Граница_НП_проект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Сети_скрытый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Сети_газоснабжение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Сети_водопровод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Сети_канализация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Сети_теплоснабжение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Сети_электроснабжение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Сети_СЗЗ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Сети_красные_линии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ГП_участки_жилые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Оп_существ_зелень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Сети_культбыт_штрих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lastRenderedPageBreak/>
        <w:t>Сети_кварталы_штрих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Сети_промка_штрих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пролетарский_ортофото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План красных линий, масштаб 1:2000, арх. № ГП-21119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Точки_КЛ_1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План_КЛ_оформление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Оп_улицы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План_КЛ_рамка_штамп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ГП_участки_жилые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План_КЛ_условные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Оп_обществ_здания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Оп_жилые_здания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Оп_произв_здания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ГП_культбыт_проект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ГП_жилые_проект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ЗУ_Пролетарский_New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  <w:lang w:val="en-US"/>
        </w:rPr>
        <w:t>КК</w:t>
      </w:r>
      <w:r w:rsidRPr="006C3EED">
        <w:rPr>
          <w:rFonts w:ascii="Times New Roman" w:hAnsi="Times New Roman" w:cs="Times New Roman"/>
          <w:sz w:val="20"/>
          <w:szCs w:val="20"/>
        </w:rPr>
        <w:t>_Пролетарский_New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Красные_линии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Оп_Граница_НП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ГП_Граница_НП_проект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ГП_промка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Оп_существ_зелень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ГП_обществ_площадки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пролетарский_ортофото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t>Карта-схема источников выбросов, масштаб 1:15000, арх. № ГП-21120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1. Точки_выброса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2. Охрана_оформление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3. Охрана_зоны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4. Охрана_жилые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  <w:r w:rsidRPr="006C3EED">
        <w:rPr>
          <w:rFonts w:ascii="Times New Roman" w:hAnsi="Times New Roman" w:cs="Times New Roman"/>
          <w:sz w:val="20"/>
          <w:szCs w:val="20"/>
        </w:rPr>
        <w:t>5. Охрана_промка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  <w:sectPr w:rsidR="006C3EED" w:rsidRPr="006C3EED" w:rsidSect="00AA1E2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C3EED">
        <w:rPr>
          <w:rFonts w:ascii="Times New Roman" w:hAnsi="Times New Roman" w:cs="Times New Roman"/>
          <w:b/>
          <w:sz w:val="20"/>
          <w:szCs w:val="20"/>
        </w:rPr>
        <w:lastRenderedPageBreak/>
        <w:t>Каталог координат красных линий</w:t>
      </w: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7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1"/>
        <w:gridCol w:w="2835"/>
        <w:gridCol w:w="2835"/>
      </w:tblGrid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№ </w:t>
            </w: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расчетной </w:t>
            </w:r>
            <w:r w:rsidRPr="006C3E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точки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Х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Y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-40716.27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5478.81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-40530.27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5576.2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-40461.03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5454.45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-40708.91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5319.02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-40723.46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5343.66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-40507.41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5588.15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-40240.36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5727.57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-40172.64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5612.09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-40438.41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5466.81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-40217.26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5740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-39730.53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5994.74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-39685.4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5878.44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-40149.67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5624.63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-40139.56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5607.37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-39678.09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5859.59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-39631.11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5738.68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-40075.12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5497.37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-40162.54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5594.8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-40098.03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5484.83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-40365.95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5339.3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-40428.55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5449.44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-40388.59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5327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-40635.29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5192.95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-40698.8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5301.71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-40451.17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5437.05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-40707.83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5153.6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-40731.37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5196.81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-40726.35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5286.65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-40716.36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5292.11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-40652.91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5183.37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-40642.81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5166.09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-40573.81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5047.86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-40607.95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5028.81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-40643.18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5035.28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-40698.29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5135.72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-40625.21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5175.66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-40378.75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5309.63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-40312.72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5193.5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-40556.33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5057.63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-40290.2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5206.07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-40356.08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5321.93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-40087.99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5467.57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-40053.82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5409.3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-40013.89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5360.18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-39987.86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5374.71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-40042.89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5442.41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-40064.95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5480.1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-39623.78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5719.83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-39594.44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5644.37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-39633.35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5572.4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-40001.09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5344.44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-39952.77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5284.93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-39730.42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4933.53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-39705.29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4731.76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-39893.38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4508.03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-40280.34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5188.67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-40302.82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5176.1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-40127.28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4867.36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-40368.81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4736.37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-40546.23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5040.34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-40563.74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5030.59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-40386.47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4726.79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-40583.4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4620.1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-40655.51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4979.46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-40376.34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4709.54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-40307.61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4591.75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-40426.28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4514.09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-40415.39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4497.48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-40297.37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4574.2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-40230.95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4460.37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-40453.14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4321.36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-40569.8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4552.38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-40579.2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4599.51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-40358.76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4719.15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-40117.42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4849.92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-40061.71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4751.88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-40290.75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4602.6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-40280.65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4585.3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-40051.78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4734.47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-39983.83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4614.91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-40213.93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4471.04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-40203.86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4453.74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-39973.97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4597.6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-39911.1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4486.98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-39918.08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4478.62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-40136.23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4337.84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-40220.85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4443.09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-40153.08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4326.93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-40381.65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4179.45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-40444.15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4303.41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-40353.73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4124.07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-40370.26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4157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-39897.1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4462.4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-39834.91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4353.04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-40244.57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4120.64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-40322.72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4062.88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-40320.76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4098.15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-40237.69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4095.4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-40072.69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4189.12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-40020.09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4098.91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-40269.74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3957.32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-40002.61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4108.81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-40055.27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4199.06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-39822.46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4330.97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-39770.82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4240.25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-39812.56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4365.74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-39877.33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4479.75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-39752.58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4628.3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109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-39640.83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4705.93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-39536.59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4521.96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-39748.42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4253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-39799.96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4343.68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-39524.18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4500.03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-39472.71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4409.23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-39460.17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4387.11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-39408.51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4295.67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-39683.92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4139.63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-39735.9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4230.9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119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-39758.28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4218.2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-39706.42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4126.9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-39936.89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3996.29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-39989.77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4086.83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-40007.14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4077.04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-39954.31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3986.36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-40210.94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3841.44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-40258.22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3934.84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-40189.31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3824.18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-39941.77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3964.78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129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-39888.79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3874.02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-40148.08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3727.28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-40194.46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3728.61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-39924.31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3974.65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-39694.09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4105.12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-39642.02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4013.66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-39871.32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3883.97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-39671.54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4117.85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-39396.11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4273.84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-39344.23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4182.15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139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-39619.55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4026.36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-40202.47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3574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-40195.46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3704.09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-40140.99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3702.3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-39629.7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3991.86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-39377.72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3548.31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-39347.17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3547.26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-39607.12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4004.62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-39313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4171.24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-39622.9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4718.41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149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-39581.92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4746.91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-39624.7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4808.48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-39182.72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5115.6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-39165.89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5113.27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-39169.98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5083.54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-39135.45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5033.53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-39199.32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5012.83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-39636.11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4824.85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-39675.06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4880.84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-39689.46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4965.58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159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-39389.87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5136.18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160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-39315.44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5143.32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-39233.85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5175.89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-39200.47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5127.61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-39711.05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4976.37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-39799.27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5096.71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-39704.22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5152.53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-39507.84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5227.81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-39487.29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5168.67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-39425.73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5207.82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169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-39396.03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5155.68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-39846.62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5161.41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-39875.67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5236.76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-39975.06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5358.94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-39618.71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5557.71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-39572.31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5643.26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-39660.23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5869.44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-39641.06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5879.83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-39471.65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6027.18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-39454.26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6039.47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179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-39431.81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6052.21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-39407.12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6064.11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-39414.48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6079.34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-39440.79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6069.77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-39465.03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6056.46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-39483.29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6043.57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-39652.62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5896.31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-39667.45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5888.19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-39716.33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6013.28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-39721.1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6099.1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189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-39739.4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6097.67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190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-39735.63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6015.13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-40730.88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5493.83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192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-40746.84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5192.54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-40667.08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5047.11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194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-40677.51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4990.01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-40588.05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4543.86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-40215.63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3805.33</w:t>
            </w:r>
          </w:p>
        </w:tc>
      </w:tr>
      <w:tr w:rsidR="006C3EED" w:rsidRPr="006C3EED" w:rsidTr="00873EF7">
        <w:trPr>
          <w:trHeight w:val="255"/>
        </w:trPr>
        <w:tc>
          <w:tcPr>
            <w:tcW w:w="1701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b/>
                <w:sz w:val="20"/>
                <w:szCs w:val="20"/>
              </w:rPr>
              <w:t>197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-40228.09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:rsidR="006C3EED" w:rsidRPr="006C3EED" w:rsidRDefault="006C3EED" w:rsidP="006C3EED">
            <w:pPr>
              <w:pStyle w:val="af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EED">
              <w:rPr>
                <w:rFonts w:ascii="Times New Roman" w:hAnsi="Times New Roman" w:cs="Times New Roman"/>
                <w:sz w:val="20"/>
                <w:szCs w:val="20"/>
              </w:rPr>
              <w:t>3574.11</w:t>
            </w:r>
          </w:p>
        </w:tc>
      </w:tr>
    </w:tbl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C3EED" w:rsidRPr="006C3EED" w:rsidRDefault="006C3EED" w:rsidP="006C3EED">
      <w:pPr>
        <w:pStyle w:val="af7"/>
        <w:jc w:val="both"/>
        <w:rPr>
          <w:rFonts w:ascii="Times New Roman" w:hAnsi="Times New Roman" w:cs="Times New Roman"/>
          <w:sz w:val="20"/>
          <w:szCs w:val="20"/>
        </w:rPr>
        <w:sectPr w:rsidR="006C3EED" w:rsidRPr="006C3EED" w:rsidSect="00AA1E21">
          <w:pgSz w:w="11906" w:h="16838"/>
          <w:pgMar w:top="1134" w:right="851" w:bottom="1134" w:left="2835" w:header="709" w:footer="709" w:gutter="0"/>
          <w:cols w:space="708"/>
          <w:docGrid w:linePitch="360"/>
        </w:sectPr>
      </w:pPr>
      <w:r w:rsidRPr="006C3EED">
        <w:rPr>
          <w:rFonts w:ascii="Times New Roman" w:hAnsi="Times New Roman" w:cs="Times New Roman"/>
          <w:b/>
          <w:sz w:val="20"/>
          <w:szCs w:val="20"/>
        </w:rPr>
        <w:t xml:space="preserve">11. Исходные данные. </w:t>
      </w:r>
    </w:p>
    <w:p w:rsidR="006C3EED" w:rsidRPr="00AA1E21" w:rsidRDefault="006C3EED" w:rsidP="006C3EED">
      <w:pPr>
        <w:tabs>
          <w:tab w:val="left" w:pos="2080"/>
        </w:tabs>
        <w:rPr>
          <w:color w:val="000000"/>
        </w:rPr>
      </w:pPr>
    </w:p>
    <w:p w:rsidR="006C3EED" w:rsidRPr="00AA1E21" w:rsidRDefault="006C3EED" w:rsidP="006C3EED">
      <w:pPr>
        <w:rPr>
          <w:color w:val="000000"/>
        </w:rPr>
      </w:pPr>
    </w:p>
    <w:p w:rsidR="00000000" w:rsidRPr="006C3EED" w:rsidRDefault="006C3EED">
      <w:pPr>
        <w:rPr>
          <w:rFonts w:ascii="Times New Roman" w:hAnsi="Times New Roman" w:cs="Times New Roman"/>
          <w:sz w:val="20"/>
          <w:szCs w:val="20"/>
        </w:rPr>
      </w:pPr>
    </w:p>
    <w:sectPr w:rsidR="00000000" w:rsidRPr="006C3EED" w:rsidSect="00AA1E2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03442"/>
    <w:multiLevelType w:val="hybridMultilevel"/>
    <w:tmpl w:val="E70C63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479D7"/>
    <w:multiLevelType w:val="hybridMultilevel"/>
    <w:tmpl w:val="1BBC43B6"/>
    <w:lvl w:ilvl="0" w:tplc="265E50AA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22A83E17"/>
    <w:multiLevelType w:val="hybridMultilevel"/>
    <w:tmpl w:val="A274E9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4A7E29"/>
    <w:multiLevelType w:val="hybridMultilevel"/>
    <w:tmpl w:val="8E98D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345307"/>
    <w:multiLevelType w:val="multilevel"/>
    <w:tmpl w:val="37E6F334"/>
    <w:lvl w:ilvl="0">
      <w:start w:val="1"/>
      <w:numFmt w:val="decimal"/>
      <w:pStyle w:val="5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pStyle w:val="10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auto"/>
      </w:rPr>
    </w:lvl>
    <w:lvl w:ilvl="3">
      <w:start w:val="1"/>
      <w:numFmt w:val="decimal"/>
      <w:pStyle w:val="11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pStyle w:val="S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3B823242"/>
    <w:multiLevelType w:val="hybridMultilevel"/>
    <w:tmpl w:val="1EFC2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C50CA1"/>
    <w:multiLevelType w:val="hybridMultilevel"/>
    <w:tmpl w:val="34AE7C82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6B4957"/>
    <w:multiLevelType w:val="hybridMultilevel"/>
    <w:tmpl w:val="9CB2DDE8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4F4968BD"/>
    <w:multiLevelType w:val="hybridMultilevel"/>
    <w:tmpl w:val="D5EC8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400AE7"/>
    <w:multiLevelType w:val="hybridMultilevel"/>
    <w:tmpl w:val="BD32CAE6"/>
    <w:lvl w:ilvl="0" w:tplc="FFFFFFF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AE4FFD"/>
    <w:multiLevelType w:val="hybridMultilevel"/>
    <w:tmpl w:val="545A6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EF04A7"/>
    <w:multiLevelType w:val="hybridMultilevel"/>
    <w:tmpl w:val="28686DA2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411CF2"/>
    <w:multiLevelType w:val="hybridMultilevel"/>
    <w:tmpl w:val="53101FE8"/>
    <w:lvl w:ilvl="0" w:tplc="1DC0CA1C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7"/>
        </w:tabs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7"/>
        </w:tabs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7"/>
        </w:tabs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7"/>
        </w:tabs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7"/>
        </w:tabs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7"/>
        </w:tabs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7"/>
        </w:tabs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7"/>
        </w:tabs>
        <w:ind w:left="6347" w:hanging="180"/>
      </w:pPr>
    </w:lvl>
  </w:abstractNum>
  <w:abstractNum w:abstractNumId="13">
    <w:nsid w:val="61A9697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5EC6CE9"/>
    <w:multiLevelType w:val="hybridMultilevel"/>
    <w:tmpl w:val="356E3218"/>
    <w:lvl w:ilvl="0" w:tplc="FFFFFFFF">
      <w:start w:val="1"/>
      <w:numFmt w:val="bullet"/>
      <w:pStyle w:val="12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791708A"/>
    <w:multiLevelType w:val="hybridMultilevel"/>
    <w:tmpl w:val="35461B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2A2942"/>
    <w:multiLevelType w:val="hybridMultilevel"/>
    <w:tmpl w:val="007AB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C5954A7"/>
    <w:multiLevelType w:val="hybridMultilevel"/>
    <w:tmpl w:val="0E9CB4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79C7372"/>
    <w:multiLevelType w:val="hybridMultilevel"/>
    <w:tmpl w:val="084E02EC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4"/>
  </w:num>
  <w:num w:numId="5">
    <w:abstractNumId w:val="14"/>
  </w:num>
  <w:num w:numId="6">
    <w:abstractNumId w:val="17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6"/>
  </w:num>
  <w:num w:numId="13">
    <w:abstractNumId w:val="12"/>
  </w:num>
  <w:num w:numId="14">
    <w:abstractNumId w:val="16"/>
  </w:num>
  <w:num w:numId="15">
    <w:abstractNumId w:val="3"/>
  </w:num>
  <w:num w:numId="16">
    <w:abstractNumId w:val="10"/>
  </w:num>
  <w:num w:numId="17">
    <w:abstractNumId w:val="5"/>
  </w:num>
  <w:num w:numId="18">
    <w:abstractNumId w:val="2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C3EED"/>
    <w:rsid w:val="006C3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3">
    <w:name w:val="heading 1"/>
    <w:basedOn w:val="a"/>
    <w:next w:val="a"/>
    <w:link w:val="14"/>
    <w:qFormat/>
    <w:rsid w:val="006C3EE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C3EE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C3EE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C3EED"/>
    <w:pPr>
      <w:keepNext/>
      <w:spacing w:after="0" w:line="240" w:lineRule="auto"/>
      <w:jc w:val="center"/>
      <w:outlineLvl w:val="3"/>
    </w:pPr>
    <w:rPr>
      <w:rFonts w:ascii="Times New Roman" w:eastAsia="Arial Unicode MS" w:hAnsi="Times New Roman" w:cs="Times New Roman"/>
      <w:sz w:val="28"/>
      <w:szCs w:val="24"/>
      <w:u w:val="single"/>
    </w:rPr>
  </w:style>
  <w:style w:type="paragraph" w:styleId="50">
    <w:name w:val="heading 5"/>
    <w:basedOn w:val="a"/>
    <w:next w:val="a"/>
    <w:link w:val="51"/>
    <w:qFormat/>
    <w:rsid w:val="006C3EED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qFormat/>
    <w:rsid w:val="006C3EED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qFormat/>
    <w:rsid w:val="006C3EE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6C3EE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6C3EED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4">
    <w:name w:val="Заголовок 1 Знак"/>
    <w:basedOn w:val="a0"/>
    <w:link w:val="13"/>
    <w:rsid w:val="006C3EE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C3EE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C3EED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C3EED"/>
    <w:rPr>
      <w:rFonts w:ascii="Times New Roman" w:eastAsia="Arial Unicode MS" w:hAnsi="Times New Roman" w:cs="Times New Roman"/>
      <w:sz w:val="28"/>
      <w:szCs w:val="24"/>
      <w:u w:val="single"/>
    </w:rPr>
  </w:style>
  <w:style w:type="character" w:customStyle="1" w:styleId="51">
    <w:name w:val="Заголовок 5 Знак"/>
    <w:basedOn w:val="a0"/>
    <w:link w:val="50"/>
    <w:rsid w:val="006C3EED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6C3EED"/>
    <w:rPr>
      <w:rFonts w:ascii="Times New Roman" w:eastAsia="Times New Roman" w:hAnsi="Times New Roman" w:cs="Times New Roman"/>
      <w:sz w:val="28"/>
      <w:szCs w:val="24"/>
    </w:rPr>
  </w:style>
  <w:style w:type="character" w:customStyle="1" w:styleId="70">
    <w:name w:val="Заголовок 7 Знак"/>
    <w:basedOn w:val="a0"/>
    <w:link w:val="7"/>
    <w:rsid w:val="006C3EED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6C3EE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C3EED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3">
    <w:name w:val="Title"/>
    <w:basedOn w:val="a"/>
    <w:link w:val="a4"/>
    <w:qFormat/>
    <w:rsid w:val="006C3EE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6C3EED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ody Text"/>
    <w:basedOn w:val="a"/>
    <w:link w:val="a6"/>
    <w:rsid w:val="006C3E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rsid w:val="006C3EE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2"/>
    <w:basedOn w:val="a"/>
    <w:link w:val="22"/>
    <w:rsid w:val="006C3EED"/>
    <w:pPr>
      <w:spacing w:after="0" w:line="240" w:lineRule="auto"/>
    </w:pPr>
    <w:rPr>
      <w:rFonts w:ascii="Times New Roman" w:eastAsia="Times New Roman" w:hAnsi="Times New Roman" w:cs="Times New Roman"/>
      <w:iCs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6C3EED"/>
    <w:rPr>
      <w:rFonts w:ascii="Times New Roman" w:eastAsia="Times New Roman" w:hAnsi="Times New Roman" w:cs="Times New Roman"/>
      <w:iCs/>
      <w:sz w:val="28"/>
      <w:szCs w:val="24"/>
    </w:rPr>
  </w:style>
  <w:style w:type="paragraph" w:styleId="31">
    <w:name w:val="Body Text 3"/>
    <w:basedOn w:val="a"/>
    <w:link w:val="32"/>
    <w:rsid w:val="006C3EE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rsid w:val="006C3EED"/>
    <w:rPr>
      <w:rFonts w:ascii="Times New Roman" w:eastAsia="Times New Roman" w:hAnsi="Times New Roman" w:cs="Times New Roman"/>
      <w:sz w:val="28"/>
      <w:szCs w:val="24"/>
    </w:rPr>
  </w:style>
  <w:style w:type="table" w:styleId="a7">
    <w:name w:val="Table Grid"/>
    <w:basedOn w:val="a1"/>
    <w:rsid w:val="006C3E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6C3EE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6C3EED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6C3EE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6C3EED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Body Text Indent 3"/>
    <w:basedOn w:val="a"/>
    <w:link w:val="34"/>
    <w:rsid w:val="006C3E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C3EED"/>
    <w:rPr>
      <w:rFonts w:ascii="Times New Roman" w:eastAsia="Times New Roman" w:hAnsi="Times New Roman" w:cs="Times New Roman"/>
      <w:sz w:val="16"/>
      <w:szCs w:val="16"/>
    </w:rPr>
  </w:style>
  <w:style w:type="paragraph" w:customStyle="1" w:styleId="Normal">
    <w:name w:val="Normal"/>
    <w:rsid w:val="006C3EED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aa">
    <w:name w:val="Hyperlink"/>
    <w:basedOn w:val="a0"/>
    <w:rsid w:val="006C3EED"/>
    <w:rPr>
      <w:color w:val="0000FF"/>
      <w:u w:val="single"/>
    </w:rPr>
  </w:style>
  <w:style w:type="character" w:styleId="ab">
    <w:name w:val="page number"/>
    <w:basedOn w:val="a0"/>
    <w:rsid w:val="006C3EED"/>
  </w:style>
  <w:style w:type="paragraph" w:styleId="ac">
    <w:name w:val="header"/>
    <w:basedOn w:val="a"/>
    <w:link w:val="ad"/>
    <w:rsid w:val="006C3EE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Верхний колонтитул Знак"/>
    <w:basedOn w:val="a0"/>
    <w:link w:val="ac"/>
    <w:rsid w:val="006C3EED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lock Text"/>
    <w:basedOn w:val="a"/>
    <w:rsid w:val="006C3EED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">
    <w:name w:val="caption"/>
    <w:basedOn w:val="a"/>
    <w:next w:val="a"/>
    <w:qFormat/>
    <w:rsid w:val="006C3EE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er"/>
    <w:basedOn w:val="a"/>
    <w:link w:val="af1"/>
    <w:rsid w:val="006C3EE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link w:val="af0"/>
    <w:rsid w:val="006C3EED"/>
    <w:rPr>
      <w:rFonts w:ascii="Times New Roman" w:eastAsia="Times New Roman" w:hAnsi="Times New Roman" w:cs="Times New Roman"/>
      <w:sz w:val="20"/>
      <w:szCs w:val="20"/>
    </w:rPr>
  </w:style>
  <w:style w:type="paragraph" w:customStyle="1" w:styleId="15">
    <w:name w:val="Стиль1"/>
    <w:basedOn w:val="2"/>
    <w:next w:val="25"/>
    <w:rsid w:val="006C3EED"/>
    <w:pPr>
      <w:spacing w:before="0" w:after="0"/>
      <w:ind w:firstLine="180"/>
      <w:jc w:val="center"/>
    </w:pPr>
    <w:rPr>
      <w:rFonts w:ascii="Times New Roman" w:eastAsia="Arial Unicode MS" w:hAnsi="Times New Roman" w:cs="Times New Roman"/>
      <w:iCs w:val="0"/>
      <w:szCs w:val="24"/>
    </w:rPr>
  </w:style>
  <w:style w:type="paragraph" w:customStyle="1" w:styleId="25">
    <w:name w:val="Стиль2"/>
    <w:basedOn w:val="2"/>
    <w:rsid w:val="006C3EED"/>
    <w:pPr>
      <w:spacing w:before="0" w:after="0"/>
      <w:ind w:firstLine="180"/>
      <w:jc w:val="center"/>
    </w:pPr>
    <w:rPr>
      <w:rFonts w:ascii="Times New Roman" w:eastAsia="Arial Unicode MS" w:hAnsi="Times New Roman" w:cs="Times New Roman"/>
      <w:bCs w:val="0"/>
      <w:i w:val="0"/>
      <w:iCs w:val="0"/>
      <w:sz w:val="26"/>
      <w:lang w:val="en-US"/>
    </w:rPr>
  </w:style>
  <w:style w:type="paragraph" w:customStyle="1" w:styleId="14032">
    <w:name w:val="Стиль 14 пт полужирный курсив По центру Первая строка:  032 см"/>
    <w:basedOn w:val="13"/>
    <w:rsid w:val="006C3EED"/>
    <w:pPr>
      <w:spacing w:before="0" w:after="0"/>
      <w:ind w:firstLine="180"/>
      <w:jc w:val="center"/>
    </w:pPr>
    <w:rPr>
      <w:rFonts w:ascii="Times New Roman" w:hAnsi="Times New Roman" w:cs="Times New Roman"/>
      <w:i/>
      <w:iCs/>
      <w:kern w:val="0"/>
      <w:sz w:val="28"/>
      <w:szCs w:val="20"/>
    </w:rPr>
  </w:style>
  <w:style w:type="paragraph" w:customStyle="1" w:styleId="35">
    <w:name w:val="Стиль3"/>
    <w:basedOn w:val="3"/>
    <w:link w:val="36"/>
    <w:rsid w:val="006C3EED"/>
    <w:pPr>
      <w:spacing w:before="0" w:after="0"/>
      <w:jc w:val="center"/>
    </w:pPr>
    <w:rPr>
      <w:sz w:val="24"/>
      <w:u w:val="single"/>
    </w:rPr>
  </w:style>
  <w:style w:type="character" w:customStyle="1" w:styleId="36">
    <w:name w:val="Стиль3 Знак"/>
    <w:basedOn w:val="30"/>
    <w:link w:val="35"/>
    <w:rsid w:val="006C3EED"/>
    <w:rPr>
      <w:sz w:val="24"/>
      <w:u w:val="single"/>
    </w:rPr>
  </w:style>
  <w:style w:type="paragraph" w:customStyle="1" w:styleId="41">
    <w:name w:val="Стиль4"/>
    <w:basedOn w:val="12"/>
    <w:rsid w:val="006C3EED"/>
    <w:pPr>
      <w:ind w:firstLine="180"/>
      <w:jc w:val="right"/>
    </w:pPr>
  </w:style>
  <w:style w:type="paragraph" w:styleId="12">
    <w:name w:val="toc 1"/>
    <w:basedOn w:val="a"/>
    <w:next w:val="a"/>
    <w:autoRedefine/>
    <w:semiHidden/>
    <w:rsid w:val="006C3EED"/>
    <w:pPr>
      <w:numPr>
        <w:numId w:val="5"/>
      </w:numPr>
      <w:tabs>
        <w:tab w:val="clear" w:pos="2149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rsid w:val="006C3EED"/>
    <w:pPr>
      <w:numPr>
        <w:numId w:val="5"/>
      </w:numPr>
      <w:tabs>
        <w:tab w:val="clear" w:pos="2149"/>
      </w:tabs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">
    <w:name w:val="Стиль5"/>
    <w:basedOn w:val="13"/>
    <w:next w:val="15"/>
    <w:rsid w:val="006C3EED"/>
    <w:pPr>
      <w:numPr>
        <w:numId w:val="4"/>
      </w:numPr>
      <w:tabs>
        <w:tab w:val="clear" w:pos="360"/>
      </w:tabs>
      <w:spacing w:before="0" w:after="0"/>
      <w:ind w:left="0" w:firstLine="0"/>
      <w:jc w:val="center"/>
    </w:pPr>
    <w:rPr>
      <w:rFonts w:ascii="Times New Roman" w:hAnsi="Times New Roman" w:cs="Times New Roman"/>
      <w:bCs w:val="0"/>
      <w:i/>
      <w:kern w:val="0"/>
      <w:sz w:val="28"/>
      <w:szCs w:val="24"/>
    </w:rPr>
  </w:style>
  <w:style w:type="paragraph" w:customStyle="1" w:styleId="1">
    <w:name w:val="Обычный1"/>
    <w:rsid w:val="006C3EED"/>
    <w:pPr>
      <w:numPr>
        <w:ilvl w:val="1"/>
        <w:numId w:val="4"/>
      </w:numPr>
      <w:tabs>
        <w:tab w:val="clear" w:pos="1080"/>
      </w:tabs>
      <w:spacing w:before="100" w:after="100" w:line="240" w:lineRule="auto"/>
      <w:ind w:left="0" w:firstLine="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0">
    <w:name w:val="Заголовок_1 Знак"/>
    <w:basedOn w:val="a"/>
    <w:link w:val="11"/>
    <w:semiHidden/>
    <w:rsid w:val="006C3EED"/>
    <w:pPr>
      <w:numPr>
        <w:ilvl w:val="2"/>
        <w:numId w:val="4"/>
      </w:numPr>
      <w:tabs>
        <w:tab w:val="clear" w:pos="1440"/>
        <w:tab w:val="num" w:pos="720"/>
      </w:tabs>
      <w:spacing w:after="0" w:line="240" w:lineRule="auto"/>
      <w:ind w:left="720" w:hanging="36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_1 Знак Знак"/>
    <w:basedOn w:val="a0"/>
    <w:link w:val="10"/>
    <w:semiHidden/>
    <w:rsid w:val="006C3EED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List Bullet"/>
    <w:basedOn w:val="a"/>
    <w:autoRedefine/>
    <w:semiHidden/>
    <w:rsid w:val="006C3EED"/>
    <w:pPr>
      <w:numPr>
        <w:ilvl w:val="3"/>
        <w:numId w:val="4"/>
      </w:numPr>
      <w:tabs>
        <w:tab w:val="clear" w:pos="1800"/>
        <w:tab w:val="num" w:pos="360"/>
      </w:tabs>
      <w:spacing w:after="0" w:line="360" w:lineRule="auto"/>
      <w:ind w:left="3346" w:hanging="360"/>
      <w:jc w:val="both"/>
    </w:pPr>
    <w:rPr>
      <w:rFonts w:ascii="Times New Roman" w:eastAsia="Times New Roman" w:hAnsi="Times New Roman" w:cs="Times New Roman"/>
      <w:color w:val="333399"/>
      <w:w w:val="109"/>
      <w:sz w:val="24"/>
      <w:szCs w:val="24"/>
    </w:rPr>
  </w:style>
  <w:style w:type="paragraph" w:customStyle="1" w:styleId="S1">
    <w:name w:val="S_Заголовок 1"/>
    <w:basedOn w:val="10"/>
    <w:rsid w:val="006C3EED"/>
    <w:pPr>
      <w:numPr>
        <w:ilvl w:val="0"/>
      </w:numPr>
      <w:tabs>
        <w:tab w:val="clear" w:pos="360"/>
      </w:tabs>
      <w:ind w:left="658" w:hanging="283"/>
    </w:pPr>
    <w:rPr>
      <w:caps/>
    </w:rPr>
  </w:style>
  <w:style w:type="paragraph" w:customStyle="1" w:styleId="S2">
    <w:name w:val="S_Заголовок 2"/>
    <w:basedOn w:val="2"/>
    <w:rsid w:val="006C3EED"/>
    <w:pPr>
      <w:keepNext w:val="0"/>
      <w:numPr>
        <w:ilvl w:val="1"/>
        <w:numId w:val="4"/>
      </w:numPr>
      <w:spacing w:before="0" w:after="0"/>
      <w:jc w:val="both"/>
    </w:pPr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S3">
    <w:name w:val="S_Заголовок 3"/>
    <w:basedOn w:val="3"/>
    <w:rsid w:val="006C3EED"/>
    <w:pPr>
      <w:keepNext w:val="0"/>
      <w:numPr>
        <w:ilvl w:val="2"/>
        <w:numId w:val="4"/>
      </w:numPr>
      <w:spacing w:before="0" w:after="0" w:line="360" w:lineRule="auto"/>
    </w:pPr>
    <w:rPr>
      <w:rFonts w:ascii="Times New Roman" w:hAnsi="Times New Roman" w:cs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link w:val="S40"/>
    <w:rsid w:val="006C3EED"/>
    <w:pPr>
      <w:keepNext w:val="0"/>
      <w:numPr>
        <w:ilvl w:val="3"/>
        <w:numId w:val="4"/>
      </w:numPr>
      <w:jc w:val="left"/>
    </w:pPr>
    <w:rPr>
      <w:rFonts w:eastAsia="Times New Roman"/>
      <w:i/>
      <w:sz w:val="24"/>
      <w:u w:val="none"/>
    </w:rPr>
  </w:style>
  <w:style w:type="character" w:customStyle="1" w:styleId="S40">
    <w:name w:val="S_Заголовок 4 Знак"/>
    <w:basedOn w:val="a0"/>
    <w:link w:val="S4"/>
    <w:rsid w:val="006C3EED"/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S">
    <w:name w:val="S_Маркированный"/>
    <w:basedOn w:val="af3"/>
    <w:rsid w:val="006C3EED"/>
    <w:pPr>
      <w:numPr>
        <w:ilvl w:val="4"/>
      </w:numPr>
      <w:tabs>
        <w:tab w:val="clear" w:pos="2520"/>
        <w:tab w:val="num" w:pos="360"/>
        <w:tab w:val="left" w:pos="900"/>
      </w:tabs>
      <w:ind w:left="0" w:firstLine="720"/>
    </w:pPr>
    <w:rPr>
      <w:color w:val="auto"/>
    </w:rPr>
  </w:style>
  <w:style w:type="paragraph" w:customStyle="1" w:styleId="S0">
    <w:name w:val="S_Обычный"/>
    <w:basedOn w:val="a"/>
    <w:link w:val="S5"/>
    <w:rsid w:val="006C3EED"/>
    <w:pPr>
      <w:tabs>
        <w:tab w:val="num" w:pos="1080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w w:val="109"/>
      <w:sz w:val="24"/>
      <w:szCs w:val="24"/>
    </w:rPr>
  </w:style>
  <w:style w:type="character" w:customStyle="1" w:styleId="S5">
    <w:name w:val="S_Обычный Знак"/>
    <w:basedOn w:val="a0"/>
    <w:link w:val="S0"/>
    <w:rsid w:val="006C3EED"/>
    <w:rPr>
      <w:rFonts w:ascii="Times New Roman" w:eastAsia="Times New Roman" w:hAnsi="Times New Roman" w:cs="Times New Roman"/>
      <w:w w:val="109"/>
      <w:sz w:val="24"/>
      <w:szCs w:val="24"/>
    </w:rPr>
  </w:style>
  <w:style w:type="paragraph" w:customStyle="1" w:styleId="S6">
    <w:name w:val="S_Обычный с подчеркиванием"/>
    <w:basedOn w:val="a"/>
    <w:link w:val="S7"/>
    <w:rsid w:val="006C3EE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S7">
    <w:name w:val="S_Обычный с подчеркиванием Знак"/>
    <w:basedOn w:val="a0"/>
    <w:link w:val="S6"/>
    <w:rsid w:val="006C3EED"/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S50">
    <w:name w:val="S_Заголовок 5"/>
    <w:basedOn w:val="50"/>
    <w:rsid w:val="006C3EED"/>
    <w:pPr>
      <w:keepNext w:val="0"/>
      <w:numPr>
        <w:ilvl w:val="4"/>
        <w:numId w:val="4"/>
      </w:numPr>
      <w:jc w:val="left"/>
    </w:pPr>
    <w:rPr>
      <w:sz w:val="24"/>
    </w:rPr>
  </w:style>
  <w:style w:type="paragraph" w:customStyle="1" w:styleId="16">
    <w:name w:val="Знак1 Знак Знак Знак"/>
    <w:basedOn w:val="a"/>
    <w:rsid w:val="006C3EED"/>
    <w:pPr>
      <w:spacing w:after="60" w:line="240" w:lineRule="auto"/>
      <w:ind w:firstLine="709"/>
      <w:jc w:val="both"/>
    </w:pPr>
    <w:rPr>
      <w:rFonts w:ascii="Arial" w:eastAsia="Times New Roman" w:hAnsi="Arial" w:cs="Arial"/>
      <w:bCs/>
      <w:sz w:val="24"/>
      <w:szCs w:val="24"/>
    </w:rPr>
  </w:style>
  <w:style w:type="paragraph" w:customStyle="1" w:styleId="af4">
    <w:name w:val="Готовый"/>
    <w:basedOn w:val="1"/>
    <w:rsid w:val="006C3EE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styleId="af5">
    <w:name w:val="Balloon Text"/>
    <w:basedOn w:val="a"/>
    <w:link w:val="af6"/>
    <w:uiPriority w:val="99"/>
    <w:semiHidden/>
    <w:unhideWhenUsed/>
    <w:rsid w:val="006C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EED"/>
    <w:rPr>
      <w:rFonts w:ascii="Tahoma" w:hAnsi="Tahoma" w:cs="Tahoma"/>
      <w:sz w:val="16"/>
      <w:szCs w:val="16"/>
    </w:rPr>
  </w:style>
  <w:style w:type="paragraph" w:styleId="af7">
    <w:name w:val="No Spacing"/>
    <w:uiPriority w:val="1"/>
    <w:qFormat/>
    <w:rsid w:val="006C3E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5153</Words>
  <Characters>29373</Characters>
  <Application>Microsoft Office Word</Application>
  <DocSecurity>0</DocSecurity>
  <Lines>244</Lines>
  <Paragraphs>68</Paragraphs>
  <ScaleCrop>false</ScaleCrop>
  <Company>Home</Company>
  <LinksUpToDate>false</LinksUpToDate>
  <CharactersWithSpaces>34458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2015-03-02T04:21:00Z</dcterms:created>
  <dcterms:modified xsi:type="dcterms:W3CDTF">2015-03-02T04:22:00Z</dcterms:modified>
</cp:coreProperties>
</file>